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Bookman Old Style" w:hAnsi="Bookman Old Style"/>
          <w:color w:val="AEAAAA" w:themeColor="background2" w:themeShade="BF"/>
          <w:sz w:val="24"/>
          <w:szCs w:val="24"/>
        </w:rPr>
        <w:id w:val="322712465"/>
        <w:docPartObj>
          <w:docPartGallery w:val="Cover Pages"/>
          <w:docPartUnique/>
        </w:docPartObj>
      </w:sdtPr>
      <w:sdtEndPr>
        <w:rPr>
          <w:rFonts w:eastAsia="Times New Roman" w:cstheme="majorHAnsi"/>
          <w:lang w:eastAsia="en-GB"/>
        </w:rPr>
      </w:sdtEndPr>
      <w:sdtContent>
        <w:p w14:paraId="40B6F670" w14:textId="77777777" w:rsidR="00810933" w:rsidRPr="00734046" w:rsidRDefault="00810933" w:rsidP="00810933">
          <w:pPr>
            <w:spacing w:after="0"/>
            <w:jc w:val="center"/>
            <w:rPr>
              <w:rFonts w:ascii="Bookman Old Style" w:hAnsi="Bookman Old Style"/>
              <w:color w:val="AEAAAA" w:themeColor="background2" w:themeShade="BF"/>
              <w:sz w:val="24"/>
              <w:szCs w:val="24"/>
            </w:rPr>
          </w:pPr>
          <w:r w:rsidRPr="00734046">
            <w:rPr>
              <w:rFonts w:ascii="Bookman Old Style" w:hAnsi="Bookman Old Style"/>
              <w:b/>
              <w:noProof/>
              <w:color w:val="AEAAAA" w:themeColor="background2" w:themeShade="BF"/>
              <w:sz w:val="24"/>
              <w:szCs w:val="24"/>
              <w:lang w:val="en-GB" w:eastAsia="en-GB"/>
            </w:rPr>
            <w:drawing>
              <wp:inline distT="0" distB="0" distL="0" distR="0" wp14:anchorId="5D0FF47D" wp14:editId="482354AC">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14:paraId="4618F523" w14:textId="77777777" w:rsidR="00810933" w:rsidRPr="00734046" w:rsidRDefault="00810933" w:rsidP="00810933">
          <w:pPr>
            <w:jc w:val="center"/>
            <w:rPr>
              <w:rFonts w:ascii="Bookman Old Style" w:hAnsi="Bookman Old Style"/>
              <w:b/>
              <w:color w:val="AEAAAA" w:themeColor="background2" w:themeShade="BF"/>
              <w:sz w:val="24"/>
              <w:szCs w:val="24"/>
              <w:lang w:val="en-GB"/>
            </w:rPr>
          </w:pPr>
          <w:r w:rsidRPr="00734046">
            <w:rPr>
              <w:rFonts w:ascii="Bookman Old Style" w:hAnsi="Bookman Old Style"/>
              <w:b/>
              <w:i/>
              <w:noProof/>
              <w:color w:val="AEAAAA" w:themeColor="background2" w:themeShade="BF"/>
              <w:sz w:val="24"/>
              <w:szCs w:val="24"/>
              <w:lang w:val="en-GB"/>
            </w:rPr>
            <w:t>Communications for all in East Africa</w:t>
          </w:r>
        </w:p>
        <w:p w14:paraId="4681205F" w14:textId="3871BE10" w:rsidR="00810933" w:rsidRPr="00734046" w:rsidRDefault="008E0907" w:rsidP="00810933">
          <w:pPr>
            <w:jc w:val="center"/>
            <w:rPr>
              <w:rFonts w:ascii="Bookman Old Style" w:eastAsia="Times New Roman" w:hAnsi="Bookman Old Style" w:cstheme="majorHAnsi"/>
              <w:b/>
              <w:color w:val="AEAAAA" w:themeColor="background2" w:themeShade="BF"/>
              <w:sz w:val="24"/>
              <w:szCs w:val="24"/>
              <w:lang w:eastAsia="en-GB"/>
            </w:rPr>
          </w:pPr>
          <w:r>
            <w:rPr>
              <w:rFonts w:ascii="Bookman Old Style" w:eastAsia="Times New Roman" w:hAnsi="Bookman Old Style" w:cstheme="majorHAnsi"/>
              <w:b/>
              <w:color w:val="AEAAAA" w:themeColor="background2" w:themeShade="BF"/>
              <w:sz w:val="24"/>
              <w:szCs w:val="24"/>
              <w:lang w:val="en-GB" w:eastAsia="en-GB"/>
            </w:rPr>
            <w:t>3rd</w:t>
          </w:r>
          <w:r w:rsidR="00810933" w:rsidRPr="00734046">
            <w:rPr>
              <w:rFonts w:ascii="Bookman Old Style" w:eastAsia="Times New Roman" w:hAnsi="Bookman Old Style" w:cstheme="majorHAnsi"/>
              <w:b/>
              <w:color w:val="AEAAAA" w:themeColor="background2" w:themeShade="BF"/>
              <w:sz w:val="24"/>
              <w:szCs w:val="24"/>
              <w:lang w:eastAsia="en-GB"/>
            </w:rPr>
            <w:t xml:space="preserve"> EACO </w:t>
          </w:r>
          <w:r w:rsidR="00F4638F" w:rsidRPr="00734046">
            <w:rPr>
              <w:rFonts w:ascii="Bookman Old Style" w:eastAsia="Times New Roman" w:hAnsi="Bookman Old Style" w:cstheme="majorHAnsi"/>
              <w:b/>
              <w:color w:val="AEAAAA" w:themeColor="background2" w:themeShade="BF"/>
              <w:sz w:val="24"/>
              <w:szCs w:val="24"/>
              <w:lang w:eastAsia="en-GB"/>
            </w:rPr>
            <w:t>WRC</w:t>
          </w:r>
          <w:r w:rsidR="00810933" w:rsidRPr="00734046">
            <w:rPr>
              <w:rFonts w:ascii="Bookman Old Style" w:eastAsia="Times New Roman" w:hAnsi="Bookman Old Style" w:cstheme="majorHAnsi"/>
              <w:b/>
              <w:color w:val="AEAAAA" w:themeColor="background2" w:themeShade="BF"/>
              <w:sz w:val="24"/>
              <w:szCs w:val="24"/>
              <w:lang w:eastAsia="en-GB"/>
            </w:rPr>
            <w:t>-23 preparatory meeting (</w:t>
          </w:r>
          <w:r>
            <w:rPr>
              <w:rFonts w:ascii="Bookman Old Style" w:eastAsia="Times New Roman" w:hAnsi="Bookman Old Style" w:cstheme="majorHAnsi"/>
              <w:b/>
              <w:color w:val="AEAAAA" w:themeColor="background2" w:themeShade="BF"/>
              <w:sz w:val="24"/>
              <w:szCs w:val="24"/>
              <w:lang w:eastAsia="en-GB"/>
            </w:rPr>
            <w:t>17</w:t>
          </w:r>
          <w:r w:rsidRPr="008E0907">
            <w:rPr>
              <w:rFonts w:ascii="Bookman Old Style" w:eastAsia="Times New Roman" w:hAnsi="Bookman Old Style" w:cstheme="majorHAnsi"/>
              <w:b/>
              <w:color w:val="AEAAAA" w:themeColor="background2" w:themeShade="BF"/>
              <w:sz w:val="24"/>
              <w:szCs w:val="24"/>
              <w:vertAlign w:val="superscript"/>
              <w:lang w:eastAsia="en-GB"/>
            </w:rPr>
            <w:t>th</w:t>
          </w:r>
          <w:r>
            <w:rPr>
              <w:rFonts w:ascii="Bookman Old Style" w:eastAsia="Times New Roman" w:hAnsi="Bookman Old Style" w:cstheme="majorHAnsi"/>
              <w:b/>
              <w:color w:val="AEAAAA" w:themeColor="background2" w:themeShade="BF"/>
              <w:sz w:val="24"/>
              <w:szCs w:val="24"/>
              <w:lang w:eastAsia="en-GB"/>
            </w:rPr>
            <w:t>-19th</w:t>
          </w:r>
          <w:r w:rsidR="00810933" w:rsidRPr="00734046">
            <w:rPr>
              <w:rFonts w:ascii="Bookman Old Style" w:eastAsia="Times New Roman" w:hAnsi="Bookman Old Style" w:cstheme="majorHAnsi"/>
              <w:b/>
              <w:color w:val="AEAAAA" w:themeColor="background2" w:themeShade="BF"/>
              <w:sz w:val="24"/>
              <w:szCs w:val="24"/>
              <w:lang w:eastAsia="en-GB"/>
            </w:rPr>
            <w:t>/</w:t>
          </w:r>
          <w:r w:rsidR="008C5080">
            <w:rPr>
              <w:rFonts w:ascii="Bookman Old Style" w:eastAsia="Times New Roman" w:hAnsi="Bookman Old Style" w:cstheme="majorHAnsi"/>
              <w:b/>
              <w:color w:val="AEAAAA" w:themeColor="background2" w:themeShade="BF"/>
              <w:sz w:val="24"/>
              <w:szCs w:val="24"/>
              <w:lang w:eastAsia="en-GB"/>
            </w:rPr>
            <w:t>08</w:t>
          </w:r>
          <w:r w:rsidR="00810933" w:rsidRPr="00734046">
            <w:rPr>
              <w:rFonts w:ascii="Bookman Old Style" w:eastAsia="Times New Roman" w:hAnsi="Bookman Old Style" w:cstheme="majorHAnsi"/>
              <w:b/>
              <w:color w:val="AEAAAA" w:themeColor="background2" w:themeShade="BF"/>
              <w:sz w:val="24"/>
              <w:szCs w:val="24"/>
              <w:lang w:eastAsia="en-GB"/>
            </w:rPr>
            <w:t>/202</w:t>
          </w:r>
          <w:r w:rsidR="00F4638F" w:rsidRPr="00734046">
            <w:rPr>
              <w:rFonts w:ascii="Bookman Old Style" w:eastAsia="Times New Roman" w:hAnsi="Bookman Old Style" w:cstheme="majorHAnsi"/>
              <w:b/>
              <w:color w:val="AEAAAA" w:themeColor="background2" w:themeShade="BF"/>
              <w:sz w:val="24"/>
              <w:szCs w:val="24"/>
              <w:lang w:eastAsia="en-GB"/>
            </w:rPr>
            <w:t>1</w:t>
          </w:r>
          <w:r w:rsidR="00810933" w:rsidRPr="00734046">
            <w:rPr>
              <w:rFonts w:ascii="Bookman Old Style" w:eastAsia="Times New Roman" w:hAnsi="Bookman Old Style" w:cstheme="majorHAnsi"/>
              <w:b/>
              <w:color w:val="AEAAAA" w:themeColor="background2" w:themeShade="BF"/>
              <w:sz w:val="24"/>
              <w:szCs w:val="24"/>
              <w:lang w:eastAsia="en-GB"/>
            </w:rPr>
            <w:t>)</w:t>
          </w:r>
        </w:p>
        <w:p w14:paraId="62C3C27D" w14:textId="5198CDA4" w:rsidR="00810933" w:rsidRPr="00734046" w:rsidRDefault="00810933" w:rsidP="00810933">
          <w:pPr>
            <w:jc w:val="center"/>
            <w:rPr>
              <w:rFonts w:ascii="Bookman Old Style" w:eastAsia="Times New Roman" w:hAnsi="Bookman Old Style" w:cstheme="majorHAnsi"/>
              <w:color w:val="AEAAAA" w:themeColor="background2" w:themeShade="BF"/>
              <w:sz w:val="24"/>
              <w:szCs w:val="24"/>
              <w:lang w:eastAsia="en-GB"/>
            </w:rPr>
          </w:pPr>
          <w:r w:rsidRPr="00734046">
            <w:rPr>
              <w:rFonts w:ascii="Bookman Old Style" w:eastAsia="Times New Roman" w:hAnsi="Bookman Old Style" w:cstheme="majorHAnsi"/>
              <w:color w:val="AEAAAA" w:themeColor="background2" w:themeShade="BF"/>
              <w:sz w:val="24"/>
              <w:szCs w:val="24"/>
              <w:lang w:eastAsia="en-GB"/>
            </w:rPr>
            <w:t>CHAPTER 3 (Science issues)</w:t>
          </w:r>
        </w:p>
      </w:sdtContent>
    </w:sdt>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E152D3" w:rsidRPr="00734046" w14:paraId="76D42DD3" w14:textId="77777777" w:rsidTr="008E73C9">
        <w:tc>
          <w:tcPr>
            <w:tcW w:w="10265" w:type="dxa"/>
          </w:tcPr>
          <w:p w14:paraId="0B09176B" w14:textId="6E15DF5F" w:rsidR="00810933" w:rsidRPr="00734046" w:rsidRDefault="00810933" w:rsidP="008E73C9">
            <w:pPr>
              <w:jc w:val="center"/>
              <w:rPr>
                <w:rFonts w:ascii="Bookman Old Style" w:eastAsia="Times New Roman" w:hAnsi="Bookman Old Style" w:cstheme="majorHAnsi"/>
                <w:b/>
                <w:color w:val="AEAAAA" w:themeColor="background2" w:themeShade="BF"/>
                <w:sz w:val="24"/>
                <w:szCs w:val="24"/>
                <w:lang w:eastAsia="en-GB"/>
              </w:rPr>
            </w:pPr>
            <w:r w:rsidRPr="00734046">
              <w:rPr>
                <w:rFonts w:ascii="Bookman Old Style" w:eastAsia="Times New Roman" w:hAnsi="Bookman Old Style" w:cstheme="majorHAnsi"/>
                <w:b/>
                <w:color w:val="AEAAAA" w:themeColor="background2" w:themeShade="BF"/>
                <w:sz w:val="24"/>
                <w:szCs w:val="24"/>
                <w:lang w:eastAsia="en-GB"/>
              </w:rPr>
              <w:t xml:space="preserve">Input Document </w:t>
            </w:r>
          </w:p>
        </w:tc>
      </w:tr>
    </w:tbl>
    <w:p w14:paraId="1711C448" w14:textId="77777777" w:rsidR="003921F7" w:rsidRPr="00C943B1" w:rsidRDefault="003921F7" w:rsidP="003921F7">
      <w:pPr>
        <w:jc w:val="center"/>
        <w:rPr>
          <w:rFonts w:cs="Calibri"/>
          <w:b/>
          <w:spacing w:val="60"/>
          <w:sz w:val="32"/>
          <w:szCs w:val="32"/>
        </w:rPr>
      </w:pPr>
      <w:r>
        <w:rPr>
          <w:rFonts w:cs="Calibri"/>
          <w:b/>
          <w:spacing w:val="60"/>
          <w:sz w:val="32"/>
          <w:szCs w:val="32"/>
        </w:rPr>
        <w:t>Agenda Item 9.1 Topic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21F7" w:rsidRPr="00FA64B6" w14:paraId="66190310" w14:textId="77777777" w:rsidTr="002C11EA">
        <w:tc>
          <w:tcPr>
            <w:tcW w:w="9576" w:type="dxa"/>
          </w:tcPr>
          <w:p w14:paraId="1FA3B30F" w14:textId="77777777" w:rsidR="003921F7" w:rsidRPr="00FA64B6" w:rsidRDefault="003921F7" w:rsidP="002C11EA">
            <w:pPr>
              <w:spacing w:after="0" w:line="240" w:lineRule="auto"/>
              <w:rPr>
                <w:rFonts w:cs="Calibri"/>
                <w:b/>
                <w:i/>
                <w:color w:val="00B050"/>
                <w:spacing w:val="60"/>
                <w:sz w:val="20"/>
                <w:szCs w:val="20"/>
              </w:rPr>
            </w:pPr>
            <w:r w:rsidRPr="00FA64B6">
              <w:rPr>
                <w:rFonts w:cs="Calibri"/>
                <w:b/>
                <w:i/>
                <w:color w:val="00B050"/>
                <w:spacing w:val="60"/>
                <w:sz w:val="20"/>
                <w:szCs w:val="20"/>
              </w:rPr>
              <w:t>Part A: Description</w:t>
            </w:r>
          </w:p>
        </w:tc>
      </w:tr>
      <w:tr w:rsidR="003921F7" w:rsidRPr="00C943B1" w14:paraId="67638765" w14:textId="77777777" w:rsidTr="002C11EA">
        <w:trPr>
          <w:trHeight w:val="647"/>
        </w:trPr>
        <w:tc>
          <w:tcPr>
            <w:tcW w:w="9576" w:type="dxa"/>
          </w:tcPr>
          <w:p w14:paraId="68977AFD" w14:textId="77777777" w:rsidR="003921F7" w:rsidRPr="00A26E88" w:rsidRDefault="003921F7" w:rsidP="002C11EA">
            <w:pPr>
              <w:tabs>
                <w:tab w:val="left" w:pos="3825"/>
              </w:tabs>
              <w:spacing w:after="0" w:line="240" w:lineRule="auto"/>
              <w:jc w:val="both"/>
              <w:rPr>
                <w:rFonts w:ascii="Times New Roman" w:hAnsi="Times New Roman"/>
                <w:sz w:val="26"/>
                <w:szCs w:val="26"/>
              </w:rPr>
            </w:pPr>
          </w:p>
          <w:p w14:paraId="1656379F" w14:textId="3FC1B90B" w:rsidR="003921F7" w:rsidRPr="00ED40C4" w:rsidRDefault="003921F7" w:rsidP="002C11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rPr>
                <w:rFonts w:cs="Calibri"/>
                <w:iCs/>
                <w:sz w:val="24"/>
                <w:szCs w:val="24"/>
              </w:rPr>
            </w:pPr>
            <w:r w:rsidRPr="00ED40C4">
              <w:rPr>
                <w:rFonts w:cs="Calibri"/>
                <w:iCs/>
                <w:sz w:val="24"/>
                <w:szCs w:val="24"/>
              </w:rPr>
              <w:t>9.</w:t>
            </w:r>
            <w:r w:rsidRPr="00ED40C4">
              <w:rPr>
                <w:rFonts w:cs="Calibri"/>
                <w:iCs/>
                <w:sz w:val="24"/>
                <w:szCs w:val="24"/>
              </w:rPr>
              <w:tab/>
              <w:t xml:space="preserve">to consider and approve the Report of the Director of the Radiocommunication Bureau, in accordance with Article 7 of the </w:t>
            </w:r>
            <w:proofErr w:type="gramStart"/>
            <w:r w:rsidRPr="00ED40C4">
              <w:rPr>
                <w:rFonts w:cs="Calibri"/>
                <w:iCs/>
                <w:sz w:val="24"/>
                <w:szCs w:val="24"/>
              </w:rPr>
              <w:t>Convention;</w:t>
            </w:r>
            <w:proofErr w:type="gramEnd"/>
          </w:p>
          <w:p w14:paraId="05E4A75A" w14:textId="77777777" w:rsidR="00760DDB" w:rsidRPr="00ED40C4" w:rsidRDefault="00760DDB" w:rsidP="002C11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rPr>
                <w:rFonts w:cs="Calibri"/>
                <w:iCs/>
                <w:sz w:val="24"/>
                <w:szCs w:val="24"/>
              </w:rPr>
            </w:pPr>
          </w:p>
          <w:p w14:paraId="04A07DF8" w14:textId="77777777" w:rsidR="003921F7" w:rsidRPr="00ED40C4" w:rsidRDefault="003921F7" w:rsidP="002C11EA">
            <w:pPr>
              <w:spacing w:after="0" w:line="240" w:lineRule="auto"/>
              <w:jc w:val="both"/>
              <w:rPr>
                <w:rFonts w:cs="Calibri"/>
                <w:iCs/>
                <w:sz w:val="24"/>
                <w:szCs w:val="24"/>
              </w:rPr>
            </w:pPr>
            <w:r w:rsidRPr="00ED40C4">
              <w:rPr>
                <w:rFonts w:cs="Calibri"/>
                <w:iCs/>
                <w:sz w:val="24"/>
                <w:szCs w:val="24"/>
              </w:rPr>
              <w:t>9.1</w:t>
            </w:r>
            <w:r w:rsidRPr="00ED40C4">
              <w:rPr>
                <w:rFonts w:cs="Calibri"/>
                <w:iCs/>
                <w:sz w:val="24"/>
                <w:szCs w:val="24"/>
              </w:rPr>
              <w:tab/>
              <w:t>on the activities of the Radiocommunication Sector since WRC</w:t>
            </w:r>
            <w:r w:rsidRPr="00ED40C4">
              <w:rPr>
                <w:rFonts w:cs="Calibri"/>
                <w:iCs/>
                <w:sz w:val="24"/>
                <w:szCs w:val="24"/>
              </w:rPr>
              <w:noBreakHyphen/>
              <w:t>19: ​Protection of EESS (passive) in the frequency band 36-37 GHz from non-GSO FSS space stations.</w:t>
            </w:r>
          </w:p>
          <w:p w14:paraId="1C0D5735" w14:textId="77777777" w:rsidR="003921F7" w:rsidRPr="00785308" w:rsidRDefault="003921F7" w:rsidP="002C11EA">
            <w:pPr>
              <w:spacing w:after="0" w:line="240" w:lineRule="auto"/>
              <w:jc w:val="both"/>
              <w:rPr>
                <w:rFonts w:cs="Calibri"/>
                <w:i/>
                <w:sz w:val="24"/>
                <w:szCs w:val="24"/>
              </w:rPr>
            </w:pPr>
          </w:p>
          <w:p w14:paraId="46D74400" w14:textId="77777777" w:rsidR="003921F7" w:rsidRPr="00785308" w:rsidRDefault="008709D7" w:rsidP="002C11EA">
            <w:pPr>
              <w:spacing w:after="0" w:line="240" w:lineRule="auto"/>
              <w:jc w:val="both"/>
              <w:rPr>
                <w:rFonts w:cs="Calibri"/>
              </w:rPr>
            </w:pPr>
            <w:hyperlink r:id="rId6" w:history="1">
              <w:r w:rsidR="003921F7" w:rsidRPr="00454ADA">
                <w:rPr>
                  <w:rStyle w:val="Hyperlink"/>
                  <w:rFonts w:cs="Calibri"/>
                </w:rPr>
                <w:t>WRC-19 Document 535</w:t>
              </w:r>
            </w:hyperlink>
            <w:r w:rsidR="003921F7" w:rsidRPr="00454ADA">
              <w:rPr>
                <w:rFonts w:cs="Calibri"/>
              </w:rPr>
              <w:t xml:space="preserve">, </w:t>
            </w:r>
            <w:r w:rsidR="003921F7" w:rsidRPr="00785308">
              <w:rPr>
                <w:rFonts w:cs="Calibri"/>
                <w:sz w:val="24"/>
                <w:szCs w:val="24"/>
                <w:lang w:eastAsia="fr-FR"/>
              </w:rPr>
              <w:t>2nd section of the Annex</w:t>
            </w:r>
            <w:r w:rsidR="003921F7" w:rsidRPr="00514B24">
              <w:rPr>
                <w:rFonts w:cs="Calibri"/>
                <w:sz w:val="24"/>
                <w:szCs w:val="24"/>
                <w:lang w:eastAsia="fr-FR"/>
              </w:rPr>
              <w:t>:</w:t>
            </w:r>
            <w:r w:rsidR="003921F7" w:rsidRPr="00785308">
              <w:rPr>
                <w:rFonts w:cs="Calibri"/>
                <w:sz w:val="24"/>
                <w:szCs w:val="24"/>
                <w:lang w:eastAsia="fr-FR"/>
              </w:rPr>
              <w:t xml:space="preserve"> Protection of EESS (passive) in the frequency band 36-37 GHz</w:t>
            </w:r>
          </w:p>
          <w:p w14:paraId="4B58933C" w14:textId="77777777" w:rsidR="003921F7" w:rsidRDefault="003921F7" w:rsidP="002C11EA">
            <w:pPr>
              <w:spacing w:after="0" w:line="240" w:lineRule="auto"/>
              <w:jc w:val="both"/>
              <w:rPr>
                <w:rFonts w:cs="Calibri"/>
              </w:rPr>
            </w:pPr>
          </w:p>
          <w:p w14:paraId="20153978" w14:textId="77777777" w:rsidR="003921F7" w:rsidRPr="00A70FCE" w:rsidRDefault="003921F7" w:rsidP="002C11EA">
            <w:pPr>
              <w:spacing w:after="0" w:line="240" w:lineRule="auto"/>
              <w:jc w:val="both"/>
              <w:rPr>
                <w:rFonts w:cs="Calibri"/>
                <w:sz w:val="20"/>
                <w:szCs w:val="20"/>
              </w:rPr>
            </w:pPr>
          </w:p>
          <w:p w14:paraId="694A6DCF" w14:textId="77777777" w:rsidR="003921F7" w:rsidRPr="00A70FCE" w:rsidRDefault="003921F7" w:rsidP="002C11EA">
            <w:pPr>
              <w:spacing w:after="0" w:line="240" w:lineRule="auto"/>
              <w:jc w:val="both"/>
              <w:rPr>
                <w:rFonts w:cs="Calibri"/>
                <w:sz w:val="20"/>
                <w:szCs w:val="20"/>
              </w:rPr>
            </w:pPr>
          </w:p>
        </w:tc>
      </w:tr>
      <w:tr w:rsidR="003921F7" w:rsidRPr="00FA64B6" w14:paraId="0265FA51" w14:textId="77777777" w:rsidTr="002C11EA">
        <w:tc>
          <w:tcPr>
            <w:tcW w:w="9576" w:type="dxa"/>
          </w:tcPr>
          <w:p w14:paraId="704E2ECA" w14:textId="77777777" w:rsidR="003921F7" w:rsidRPr="00FA64B6" w:rsidRDefault="003921F7" w:rsidP="002C11EA">
            <w:pPr>
              <w:spacing w:after="0" w:line="240" w:lineRule="auto"/>
              <w:rPr>
                <w:rFonts w:cs="Calibri"/>
                <w:b/>
                <w:i/>
                <w:color w:val="00B050"/>
                <w:spacing w:val="60"/>
                <w:sz w:val="20"/>
                <w:szCs w:val="20"/>
              </w:rPr>
            </w:pPr>
            <w:r w:rsidRPr="00FA64B6">
              <w:rPr>
                <w:rFonts w:cs="Calibri"/>
                <w:b/>
                <w:i/>
                <w:color w:val="00B050"/>
                <w:spacing w:val="60"/>
                <w:sz w:val="20"/>
                <w:szCs w:val="20"/>
              </w:rPr>
              <w:t>Part B: Key Elements – the notables</w:t>
            </w:r>
          </w:p>
        </w:tc>
      </w:tr>
      <w:tr w:rsidR="003921F7" w:rsidRPr="00C943B1" w14:paraId="0D6440A3" w14:textId="77777777" w:rsidTr="002C11EA">
        <w:trPr>
          <w:trHeight w:val="638"/>
        </w:trPr>
        <w:tc>
          <w:tcPr>
            <w:tcW w:w="9576" w:type="dxa"/>
          </w:tcPr>
          <w:p w14:paraId="1D409D84" w14:textId="5D624B60" w:rsidR="003921F7" w:rsidRPr="00785308" w:rsidRDefault="003921F7" w:rsidP="002C11EA">
            <w:pPr>
              <w:spacing w:before="240"/>
              <w:jc w:val="both"/>
              <w:rPr>
                <w:rFonts w:cs="Calibri"/>
                <w:iCs/>
                <w:sz w:val="24"/>
                <w:szCs w:val="24"/>
              </w:rPr>
            </w:pPr>
            <w:r w:rsidRPr="00785308">
              <w:rPr>
                <w:rFonts w:cs="Calibri"/>
                <w:iCs/>
                <w:sz w:val="24"/>
                <w:szCs w:val="24"/>
              </w:rPr>
              <w:t xml:space="preserve">The studies under WRC-23 agenda item 9.1, topic d), </w:t>
            </w:r>
            <w:r w:rsidR="00ED40C4">
              <w:rPr>
                <w:rFonts w:cs="Calibri"/>
                <w:iCs/>
                <w:sz w:val="24"/>
                <w:szCs w:val="24"/>
              </w:rPr>
              <w:t>are a</w:t>
            </w:r>
            <w:r w:rsidRPr="00785308">
              <w:rPr>
                <w:rFonts w:cs="Calibri"/>
                <w:iCs/>
                <w:sz w:val="24"/>
                <w:szCs w:val="24"/>
              </w:rPr>
              <w:t xml:space="preserve"> continuation </w:t>
            </w:r>
            <w:r w:rsidR="00ED40C4">
              <w:rPr>
                <w:rFonts w:cs="Calibri"/>
                <w:iCs/>
                <w:sz w:val="24"/>
                <w:szCs w:val="24"/>
              </w:rPr>
              <w:t>of studies to</w:t>
            </w:r>
            <w:r w:rsidRPr="00785308">
              <w:rPr>
                <w:rFonts w:cs="Calibri"/>
                <w:iCs/>
                <w:sz w:val="24"/>
                <w:szCs w:val="24"/>
              </w:rPr>
              <w:t xml:space="preserve"> address the following remaining issues from the discussion for WRC-19 agenda item 1.6 related to the protection of EESS</w:t>
            </w:r>
            <w:r w:rsidRPr="002054E8">
              <w:rPr>
                <w:bCs/>
                <w:szCs w:val="30"/>
                <w:lang w:bidi="th-TH"/>
              </w:rPr>
              <w:t xml:space="preserve"> </w:t>
            </w:r>
            <w:r w:rsidRPr="00785308">
              <w:rPr>
                <w:rFonts w:cs="Calibri"/>
                <w:iCs/>
                <w:sz w:val="24"/>
                <w:szCs w:val="24"/>
              </w:rPr>
              <w:t>(passive) sensors in the 36-37 GHz frequency band:</w:t>
            </w:r>
          </w:p>
          <w:p w14:paraId="52E78B40" w14:textId="77777777" w:rsidR="003921F7" w:rsidRPr="00785308" w:rsidRDefault="003921F7" w:rsidP="003921F7">
            <w:pPr>
              <w:numPr>
                <w:ilvl w:val="0"/>
                <w:numId w:val="21"/>
              </w:numPr>
              <w:ind w:left="709" w:hanging="349"/>
              <w:jc w:val="both"/>
              <w:rPr>
                <w:rFonts w:cs="Calibri"/>
                <w:iCs/>
                <w:sz w:val="24"/>
                <w:szCs w:val="24"/>
              </w:rPr>
            </w:pPr>
            <w:r w:rsidRPr="00785308">
              <w:rPr>
                <w:rFonts w:cs="Calibri"/>
                <w:iCs/>
                <w:sz w:val="24"/>
                <w:szCs w:val="24"/>
              </w:rPr>
              <w:t>Interference into the sensing channel of EESS (passive) from fixed-satellite service non-GSO constellations operating in the 37.5-38 GHz frequency band at a lower altitude than EESS (passive) sensors.</w:t>
            </w:r>
          </w:p>
          <w:p w14:paraId="17D5ECDF" w14:textId="77777777" w:rsidR="003921F7" w:rsidRPr="00785308" w:rsidRDefault="003921F7" w:rsidP="003921F7">
            <w:pPr>
              <w:numPr>
                <w:ilvl w:val="0"/>
                <w:numId w:val="21"/>
              </w:numPr>
              <w:ind w:left="709" w:hanging="349"/>
              <w:jc w:val="both"/>
              <w:rPr>
                <w:bCs/>
                <w:szCs w:val="30"/>
                <w:lang w:bidi="th-TH"/>
              </w:rPr>
            </w:pPr>
            <w:r w:rsidRPr="00785308">
              <w:rPr>
                <w:rFonts w:cs="Calibri"/>
                <w:iCs/>
                <w:sz w:val="24"/>
                <w:szCs w:val="24"/>
              </w:rPr>
              <w:t>Interference into the cold calibration channel of EESS (passive) from fixed-satellite service non-GSO constellations operating in the 37.5-38 GHz frequency band at a higher altitude than EESS (passive) sensors.</w:t>
            </w:r>
          </w:p>
          <w:p w14:paraId="04ECD998" w14:textId="77777777" w:rsidR="003921F7" w:rsidRPr="002C6689" w:rsidRDefault="003921F7" w:rsidP="002C11EA">
            <w:pPr>
              <w:jc w:val="both"/>
              <w:rPr>
                <w:rFonts w:eastAsia="Times New Roman Bold"/>
              </w:rPr>
            </w:pPr>
          </w:p>
        </w:tc>
      </w:tr>
      <w:tr w:rsidR="003921F7" w:rsidRPr="00FA64B6" w14:paraId="42F2659C" w14:textId="77777777" w:rsidTr="002C11EA">
        <w:tc>
          <w:tcPr>
            <w:tcW w:w="9576" w:type="dxa"/>
          </w:tcPr>
          <w:p w14:paraId="5A106B54" w14:textId="77777777" w:rsidR="003921F7" w:rsidRPr="00FA64B6" w:rsidRDefault="003921F7" w:rsidP="002C11EA">
            <w:pPr>
              <w:spacing w:after="0" w:line="240" w:lineRule="auto"/>
              <w:rPr>
                <w:rFonts w:cs="Calibri"/>
                <w:b/>
                <w:i/>
                <w:color w:val="00B050"/>
                <w:spacing w:val="60"/>
                <w:sz w:val="20"/>
                <w:szCs w:val="20"/>
              </w:rPr>
            </w:pPr>
            <w:r w:rsidRPr="00FA64B6">
              <w:rPr>
                <w:rFonts w:cs="Calibri"/>
                <w:b/>
                <w:i/>
                <w:color w:val="00B050"/>
                <w:spacing w:val="60"/>
                <w:sz w:val="20"/>
                <w:szCs w:val="20"/>
              </w:rPr>
              <w:t>Part C: Current Status of Band</w:t>
            </w:r>
          </w:p>
        </w:tc>
      </w:tr>
      <w:tr w:rsidR="003921F7" w:rsidRPr="00C943B1" w14:paraId="24FC69C5" w14:textId="77777777" w:rsidTr="002C11EA">
        <w:trPr>
          <w:trHeight w:val="764"/>
        </w:trPr>
        <w:tc>
          <w:tcPr>
            <w:tcW w:w="9576" w:type="dxa"/>
          </w:tcPr>
          <w:p w14:paraId="6830E152" w14:textId="77777777" w:rsidR="003921F7" w:rsidRPr="00785308" w:rsidRDefault="003921F7" w:rsidP="002C11EA">
            <w:pPr>
              <w:spacing w:before="240" w:after="0"/>
              <w:jc w:val="both"/>
              <w:rPr>
                <w:rFonts w:cs="Calibri"/>
                <w:b/>
                <w:bCs/>
                <w:noProof/>
                <w:sz w:val="24"/>
                <w:szCs w:val="24"/>
                <w:u w:val="single"/>
                <w:lang w:val="en-ZA" w:eastAsia="en-ZA"/>
              </w:rPr>
            </w:pPr>
            <w:r w:rsidRPr="00785308">
              <w:rPr>
                <w:rFonts w:cs="Calibri"/>
                <w:b/>
                <w:bCs/>
                <w:noProof/>
                <w:sz w:val="24"/>
                <w:szCs w:val="24"/>
                <w:u w:val="single"/>
                <w:lang w:val="en-ZA" w:eastAsia="en-ZA"/>
              </w:rPr>
              <w:t>Part A RR article 5 :</w:t>
            </w:r>
          </w:p>
          <w:p w14:paraId="3640E3DA" w14:textId="77777777" w:rsidR="003921F7" w:rsidRDefault="003921F7" w:rsidP="002C11EA">
            <w:pPr>
              <w:spacing w:after="0" w:line="240" w:lineRule="auto"/>
              <w:jc w:val="both"/>
              <w:rPr>
                <w:rFonts w:cs="Calibri"/>
                <w:sz w:val="20"/>
                <w:szCs w:val="20"/>
              </w:rPr>
            </w:pPr>
            <w:r>
              <w:rPr>
                <w:rFonts w:cs="Calibri"/>
                <w:sz w:val="24"/>
                <w:szCs w:val="24"/>
              </w:rPr>
              <w:lastRenderedPageBreak/>
              <w:t>The table below</w:t>
            </w:r>
            <w:r w:rsidRPr="00785308">
              <w:rPr>
                <w:rFonts w:cs="Calibri"/>
                <w:sz w:val="24"/>
                <w:szCs w:val="24"/>
              </w:rPr>
              <w:t xml:space="preserve"> provides the international frequency allocation of the frequency band 36-37GHz band.</w:t>
            </w:r>
            <w:r w:rsidRPr="00B0168C" w:rsidDel="00393C3C">
              <w:rPr>
                <w:rFonts w:cs="Calibri"/>
                <w:sz w:val="20"/>
                <w:szCs w:val="20"/>
              </w:rPr>
              <w:t xml:space="preserve"> </w:t>
            </w:r>
          </w:p>
          <w:p w14:paraId="7271EC99" w14:textId="77777777" w:rsidR="003921F7" w:rsidRDefault="003921F7" w:rsidP="002C11EA">
            <w:pPr>
              <w:spacing w:after="0" w:line="240" w:lineRule="auto"/>
              <w:jc w:val="both"/>
              <w:rPr>
                <w:rFonts w:cs="Calibri"/>
                <w:sz w:val="20"/>
                <w:szCs w:val="20"/>
              </w:rPr>
            </w:pPr>
          </w:p>
          <w:p w14:paraId="178E9196" w14:textId="77777777" w:rsidR="003921F7" w:rsidRDefault="003921F7" w:rsidP="002C11EA">
            <w:pPr>
              <w:spacing w:after="0" w:line="240" w:lineRule="auto"/>
              <w:jc w:val="both"/>
              <w:rPr>
                <w:rFonts w:cs="Calibri"/>
                <w:sz w:val="20"/>
                <w:szCs w:val="20"/>
              </w:rPr>
            </w:pPr>
          </w:p>
          <w:p w14:paraId="5373DF76" w14:textId="77777777" w:rsidR="003921F7" w:rsidRDefault="003921F7" w:rsidP="002C11EA">
            <w:pPr>
              <w:spacing w:after="0" w:line="240" w:lineRule="auto"/>
              <w:jc w:val="both"/>
              <w:rPr>
                <w:rFonts w:cs="Calibri"/>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5"/>
              <w:gridCol w:w="2696"/>
            </w:tblGrid>
            <w:tr w:rsidR="003921F7" w:rsidRPr="002E37EE" w14:paraId="07B6554F" w14:textId="77777777" w:rsidTr="002C11EA">
              <w:tc>
                <w:tcPr>
                  <w:tcW w:w="2694" w:type="dxa"/>
                  <w:shd w:val="clear" w:color="auto" w:fill="auto"/>
                </w:tcPr>
                <w:p w14:paraId="1F50A602" w14:textId="77777777" w:rsidR="003921F7" w:rsidRPr="00785308" w:rsidRDefault="003921F7" w:rsidP="002C11EA">
                  <w:pPr>
                    <w:spacing w:after="0" w:line="240" w:lineRule="auto"/>
                    <w:jc w:val="both"/>
                    <w:rPr>
                      <w:rFonts w:cs="Calibri"/>
                      <w:b/>
                      <w:bCs/>
                    </w:rPr>
                  </w:pPr>
                  <w:r w:rsidRPr="00785308">
                    <w:rPr>
                      <w:rFonts w:cs="Calibri"/>
                      <w:b/>
                      <w:bCs/>
                    </w:rPr>
                    <w:t>REGION 1</w:t>
                  </w:r>
                </w:p>
              </w:tc>
              <w:tc>
                <w:tcPr>
                  <w:tcW w:w="3115" w:type="dxa"/>
                  <w:shd w:val="clear" w:color="auto" w:fill="auto"/>
                </w:tcPr>
                <w:p w14:paraId="73FD6308" w14:textId="77777777" w:rsidR="003921F7" w:rsidRPr="00785308" w:rsidRDefault="003921F7" w:rsidP="002C11EA">
                  <w:pPr>
                    <w:spacing w:after="0" w:line="240" w:lineRule="auto"/>
                    <w:jc w:val="both"/>
                    <w:rPr>
                      <w:rFonts w:cs="Calibri"/>
                      <w:b/>
                      <w:bCs/>
                    </w:rPr>
                  </w:pPr>
                  <w:r w:rsidRPr="00785308">
                    <w:rPr>
                      <w:rFonts w:cs="Calibri"/>
                      <w:b/>
                      <w:bCs/>
                    </w:rPr>
                    <w:t>REGION 2</w:t>
                  </w:r>
                </w:p>
              </w:tc>
              <w:tc>
                <w:tcPr>
                  <w:tcW w:w="2696" w:type="dxa"/>
                  <w:shd w:val="clear" w:color="auto" w:fill="auto"/>
                </w:tcPr>
                <w:p w14:paraId="5ACD0E9C" w14:textId="77777777" w:rsidR="003921F7" w:rsidRPr="00785308" w:rsidRDefault="003921F7" w:rsidP="002C11EA">
                  <w:pPr>
                    <w:spacing w:after="0" w:line="240" w:lineRule="auto"/>
                    <w:jc w:val="both"/>
                    <w:rPr>
                      <w:rFonts w:cs="Calibri"/>
                      <w:b/>
                      <w:bCs/>
                    </w:rPr>
                  </w:pPr>
                  <w:r w:rsidRPr="00785308">
                    <w:rPr>
                      <w:rFonts w:cs="Calibri"/>
                      <w:b/>
                      <w:bCs/>
                    </w:rPr>
                    <w:t xml:space="preserve">REGION 3 </w:t>
                  </w:r>
                </w:p>
              </w:tc>
            </w:tr>
            <w:tr w:rsidR="003921F7" w:rsidRPr="002E37EE" w14:paraId="0E96AF21" w14:textId="77777777" w:rsidTr="002C11EA">
              <w:tc>
                <w:tcPr>
                  <w:tcW w:w="8505" w:type="dxa"/>
                  <w:gridSpan w:val="3"/>
                  <w:shd w:val="clear" w:color="auto" w:fill="auto"/>
                </w:tcPr>
                <w:p w14:paraId="78F37AFB" w14:textId="77777777" w:rsidR="003921F7" w:rsidRPr="00785308" w:rsidRDefault="003921F7" w:rsidP="002C11EA">
                  <w:pPr>
                    <w:autoSpaceDE w:val="0"/>
                    <w:autoSpaceDN w:val="0"/>
                    <w:adjustRightInd w:val="0"/>
                    <w:spacing w:after="0" w:line="240" w:lineRule="auto"/>
                    <w:rPr>
                      <w:rFonts w:cs="Calibri"/>
                    </w:rPr>
                  </w:pPr>
                  <w:r w:rsidRPr="00785308">
                    <w:rPr>
                      <w:rFonts w:cs="Calibri"/>
                      <w:b/>
                      <w:bCs/>
                    </w:rPr>
                    <w:t>36- 37GHz</w:t>
                  </w:r>
                  <w:r w:rsidRPr="00785308">
                    <w:rPr>
                      <w:rFonts w:cs="Calibri"/>
                    </w:rPr>
                    <w:t xml:space="preserve">                         EARTH EXPLORATION-SATELLITE (passive)</w:t>
                  </w:r>
                </w:p>
                <w:p w14:paraId="2FC1F3BC" w14:textId="77777777" w:rsidR="003921F7" w:rsidRPr="00785308" w:rsidRDefault="003921F7" w:rsidP="002C11EA">
                  <w:pPr>
                    <w:autoSpaceDE w:val="0"/>
                    <w:autoSpaceDN w:val="0"/>
                    <w:adjustRightInd w:val="0"/>
                    <w:spacing w:after="0" w:line="240" w:lineRule="auto"/>
                    <w:rPr>
                      <w:rFonts w:cs="Calibri"/>
                    </w:rPr>
                  </w:pPr>
                  <w:r w:rsidRPr="002E37EE">
                    <w:rPr>
                      <w:rFonts w:cs="Calibri"/>
                    </w:rPr>
                    <w:t xml:space="preserve">                                            </w:t>
                  </w:r>
                  <w:r w:rsidRPr="00785308">
                    <w:rPr>
                      <w:rFonts w:cs="Calibri"/>
                    </w:rPr>
                    <w:t>FIXED</w:t>
                  </w:r>
                </w:p>
                <w:p w14:paraId="3EB03336" w14:textId="77777777" w:rsidR="003921F7" w:rsidRPr="00785308" w:rsidRDefault="003921F7" w:rsidP="002C11EA">
                  <w:pPr>
                    <w:autoSpaceDE w:val="0"/>
                    <w:autoSpaceDN w:val="0"/>
                    <w:adjustRightInd w:val="0"/>
                    <w:spacing w:after="0" w:line="240" w:lineRule="auto"/>
                    <w:rPr>
                      <w:rFonts w:cs="Calibri"/>
                    </w:rPr>
                  </w:pPr>
                  <w:r w:rsidRPr="002E37EE">
                    <w:rPr>
                      <w:rFonts w:cs="Calibri"/>
                    </w:rPr>
                    <w:t xml:space="preserve">                                            </w:t>
                  </w:r>
                  <w:r w:rsidRPr="00785308">
                    <w:rPr>
                      <w:rFonts w:cs="Calibri"/>
                    </w:rPr>
                    <w:t>MOBILE</w:t>
                  </w:r>
                </w:p>
                <w:p w14:paraId="08A97623" w14:textId="77777777" w:rsidR="003921F7" w:rsidRPr="00785308" w:rsidRDefault="003921F7" w:rsidP="002C11EA">
                  <w:pPr>
                    <w:autoSpaceDE w:val="0"/>
                    <w:autoSpaceDN w:val="0"/>
                    <w:adjustRightInd w:val="0"/>
                    <w:spacing w:after="0" w:line="240" w:lineRule="auto"/>
                    <w:rPr>
                      <w:rFonts w:cs="Calibri"/>
                    </w:rPr>
                  </w:pPr>
                  <w:r w:rsidRPr="002E37EE">
                    <w:rPr>
                      <w:rFonts w:cs="Calibri"/>
                    </w:rPr>
                    <w:t xml:space="preserve">                                            </w:t>
                  </w:r>
                  <w:r w:rsidRPr="00785308">
                    <w:rPr>
                      <w:rFonts w:cs="Calibri"/>
                    </w:rPr>
                    <w:t>SPACE RESEARCH (passive)</w:t>
                  </w:r>
                </w:p>
                <w:p w14:paraId="6825D62F" w14:textId="77777777" w:rsidR="003921F7" w:rsidRPr="00785308" w:rsidRDefault="003921F7" w:rsidP="002C11EA">
                  <w:pPr>
                    <w:spacing w:after="0" w:line="240" w:lineRule="auto"/>
                    <w:jc w:val="both"/>
                    <w:rPr>
                      <w:rFonts w:cs="Calibri"/>
                      <w:b/>
                      <w:bCs/>
                      <w:sz w:val="24"/>
                      <w:szCs w:val="24"/>
                    </w:rPr>
                  </w:pPr>
                  <w:r w:rsidRPr="002E37EE">
                    <w:rPr>
                      <w:rFonts w:cs="Calibri"/>
                    </w:rPr>
                    <w:t xml:space="preserve">                                            </w:t>
                  </w:r>
                  <w:r w:rsidRPr="00785308">
                    <w:rPr>
                      <w:rFonts w:cs="Calibri"/>
                      <w:b/>
                      <w:bCs/>
                    </w:rPr>
                    <w:t>5.149 5.550A</w:t>
                  </w:r>
                </w:p>
              </w:tc>
            </w:tr>
          </w:tbl>
          <w:p w14:paraId="45C94799" w14:textId="77777777" w:rsidR="003921F7" w:rsidRDefault="003921F7" w:rsidP="002C11EA">
            <w:pPr>
              <w:spacing w:after="0" w:line="240" w:lineRule="auto"/>
              <w:jc w:val="both"/>
              <w:rPr>
                <w:rFonts w:cs="Calibri"/>
                <w:sz w:val="20"/>
                <w:szCs w:val="20"/>
              </w:rPr>
            </w:pPr>
          </w:p>
          <w:p w14:paraId="55CCA4C7" w14:textId="77777777" w:rsidR="003921F7" w:rsidRDefault="003921F7" w:rsidP="002C11EA">
            <w:pPr>
              <w:spacing w:after="0" w:line="240" w:lineRule="auto"/>
              <w:jc w:val="both"/>
              <w:rPr>
                <w:rFonts w:cs="Calibri"/>
                <w:sz w:val="20"/>
                <w:szCs w:val="20"/>
              </w:rPr>
            </w:pPr>
          </w:p>
          <w:p w14:paraId="26DA4B39" w14:textId="77777777" w:rsidR="003921F7" w:rsidRDefault="003921F7" w:rsidP="002C11EA">
            <w:pPr>
              <w:spacing w:after="0" w:line="240" w:lineRule="auto"/>
              <w:jc w:val="both"/>
              <w:rPr>
                <w:rFonts w:cs="Calibri"/>
                <w:b/>
                <w:bCs/>
                <w:sz w:val="24"/>
                <w:szCs w:val="24"/>
                <w:u w:val="single"/>
              </w:rPr>
            </w:pPr>
            <w:r w:rsidRPr="00785308">
              <w:rPr>
                <w:rFonts w:cs="Calibri"/>
                <w:b/>
                <w:bCs/>
                <w:sz w:val="24"/>
                <w:szCs w:val="24"/>
                <w:u w:val="single"/>
              </w:rPr>
              <w:t xml:space="preserve">PART B </w:t>
            </w:r>
            <w:proofErr w:type="spellStart"/>
            <w:r w:rsidRPr="00785308">
              <w:rPr>
                <w:rFonts w:cs="Calibri"/>
                <w:b/>
                <w:bCs/>
                <w:sz w:val="24"/>
                <w:szCs w:val="24"/>
                <w:u w:val="single"/>
              </w:rPr>
              <w:t>AfriSAP</w:t>
            </w:r>
            <w:proofErr w:type="spellEnd"/>
            <w:r w:rsidRPr="00785308">
              <w:rPr>
                <w:rFonts w:cs="Calibri"/>
                <w:b/>
                <w:bCs/>
                <w:sz w:val="24"/>
                <w:szCs w:val="24"/>
                <w:u w:val="single"/>
              </w:rPr>
              <w:t>:</w:t>
            </w:r>
          </w:p>
          <w:p w14:paraId="1F8496E3" w14:textId="77777777" w:rsidR="003921F7" w:rsidRPr="00785308" w:rsidRDefault="003921F7" w:rsidP="002C11EA">
            <w:pPr>
              <w:spacing w:after="0" w:line="240" w:lineRule="auto"/>
              <w:jc w:val="both"/>
              <w:rPr>
                <w:rFonts w:cs="Calibri"/>
                <w:sz w:val="24"/>
                <w:szCs w:val="24"/>
              </w:rPr>
            </w:pPr>
            <w:r w:rsidRPr="00785308">
              <w:rPr>
                <w:rFonts w:cs="Calibri"/>
                <w:sz w:val="24"/>
                <w:szCs w:val="24"/>
              </w:rPr>
              <w:t xml:space="preserve">The table below provides the </w:t>
            </w:r>
            <w:r>
              <w:rPr>
                <w:rFonts w:cs="Calibri"/>
                <w:sz w:val="24"/>
                <w:szCs w:val="24"/>
              </w:rPr>
              <w:t xml:space="preserve">African common </w:t>
            </w:r>
            <w:r w:rsidRPr="00785308">
              <w:rPr>
                <w:rFonts w:cs="Calibri"/>
                <w:sz w:val="24"/>
                <w:szCs w:val="24"/>
              </w:rPr>
              <w:t>frequency allocation of the frequency band 36-37GHz band.</w:t>
            </w:r>
          </w:p>
          <w:p w14:paraId="3C9D3963" w14:textId="77777777" w:rsidR="003921F7" w:rsidRPr="00785308" w:rsidRDefault="003921F7" w:rsidP="002C11EA">
            <w:pPr>
              <w:spacing w:after="0" w:line="240" w:lineRule="auto"/>
              <w:jc w:val="both"/>
              <w:rPr>
                <w:rFonts w:cs="Calibri"/>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281"/>
              <w:gridCol w:w="2265"/>
              <w:gridCol w:w="2288"/>
            </w:tblGrid>
            <w:tr w:rsidR="003921F7" w:rsidRPr="00454ADA" w14:paraId="39F850B5" w14:textId="77777777" w:rsidTr="002C11EA">
              <w:tc>
                <w:tcPr>
                  <w:tcW w:w="2336" w:type="dxa"/>
                  <w:shd w:val="clear" w:color="auto" w:fill="auto"/>
                </w:tcPr>
                <w:p w14:paraId="76AF6A45" w14:textId="77777777" w:rsidR="003921F7" w:rsidRPr="00454ADA" w:rsidRDefault="003921F7" w:rsidP="002C11EA">
                  <w:pPr>
                    <w:spacing w:after="0" w:line="240" w:lineRule="auto"/>
                    <w:jc w:val="center"/>
                    <w:rPr>
                      <w:rFonts w:cs="Calibri"/>
                      <w:b/>
                    </w:rPr>
                  </w:pPr>
                  <w:r w:rsidRPr="00454ADA">
                    <w:rPr>
                      <w:rFonts w:cs="Calibri"/>
                      <w:b/>
                    </w:rPr>
                    <w:t>ITU Region 1</w:t>
                  </w:r>
                </w:p>
              </w:tc>
              <w:tc>
                <w:tcPr>
                  <w:tcW w:w="2336" w:type="dxa"/>
                  <w:shd w:val="clear" w:color="auto" w:fill="auto"/>
                </w:tcPr>
                <w:p w14:paraId="428CDB11" w14:textId="77777777" w:rsidR="003921F7" w:rsidRPr="00454ADA" w:rsidRDefault="003921F7" w:rsidP="002C11EA">
                  <w:pPr>
                    <w:spacing w:after="0" w:line="240" w:lineRule="auto"/>
                    <w:jc w:val="center"/>
                    <w:rPr>
                      <w:rFonts w:cs="Calibri"/>
                      <w:b/>
                    </w:rPr>
                  </w:pPr>
                  <w:proofErr w:type="spellStart"/>
                  <w:r w:rsidRPr="00454ADA">
                    <w:rPr>
                      <w:rFonts w:cs="Calibri"/>
                      <w:b/>
                    </w:rPr>
                    <w:t>AfriSAP</w:t>
                  </w:r>
                  <w:proofErr w:type="spellEnd"/>
                </w:p>
              </w:tc>
              <w:tc>
                <w:tcPr>
                  <w:tcW w:w="2336" w:type="dxa"/>
                  <w:shd w:val="clear" w:color="auto" w:fill="auto"/>
                </w:tcPr>
                <w:p w14:paraId="30BCFAB6" w14:textId="77777777" w:rsidR="003921F7" w:rsidRPr="00454ADA" w:rsidRDefault="003921F7" w:rsidP="002C11EA">
                  <w:pPr>
                    <w:spacing w:after="0" w:line="240" w:lineRule="auto"/>
                    <w:jc w:val="center"/>
                    <w:rPr>
                      <w:rFonts w:cs="Calibri"/>
                      <w:b/>
                    </w:rPr>
                  </w:pPr>
                  <w:r w:rsidRPr="00454ADA">
                    <w:rPr>
                      <w:rFonts w:cs="Calibri"/>
                      <w:b/>
                    </w:rPr>
                    <w:t>Typical applications</w:t>
                  </w:r>
                </w:p>
              </w:tc>
              <w:tc>
                <w:tcPr>
                  <w:tcW w:w="2337" w:type="dxa"/>
                  <w:shd w:val="clear" w:color="auto" w:fill="auto"/>
                </w:tcPr>
                <w:p w14:paraId="5CEAE24B" w14:textId="77777777" w:rsidR="003921F7" w:rsidRPr="00454ADA" w:rsidRDefault="003921F7" w:rsidP="002C11EA">
                  <w:pPr>
                    <w:spacing w:after="0" w:line="240" w:lineRule="auto"/>
                    <w:jc w:val="center"/>
                    <w:rPr>
                      <w:rFonts w:cs="Calibri"/>
                      <w:b/>
                    </w:rPr>
                  </w:pPr>
                  <w:r w:rsidRPr="00454ADA">
                    <w:rPr>
                      <w:rFonts w:cs="Calibri"/>
                      <w:b/>
                    </w:rPr>
                    <w:t>Additional information</w:t>
                  </w:r>
                </w:p>
              </w:tc>
            </w:tr>
            <w:tr w:rsidR="003921F7" w:rsidRPr="00454ADA" w14:paraId="3A061C27" w14:textId="77777777" w:rsidTr="002C11EA">
              <w:tc>
                <w:tcPr>
                  <w:tcW w:w="2336" w:type="dxa"/>
                  <w:shd w:val="clear" w:color="auto" w:fill="auto"/>
                </w:tcPr>
                <w:p w14:paraId="063CF418" w14:textId="77777777" w:rsidR="003921F7" w:rsidRPr="00454ADA" w:rsidRDefault="003921F7" w:rsidP="002C11EA">
                  <w:pPr>
                    <w:spacing w:after="0" w:line="240" w:lineRule="auto"/>
                    <w:jc w:val="both"/>
                    <w:rPr>
                      <w:rFonts w:cs="Calibri"/>
                      <w:b/>
                    </w:rPr>
                  </w:pPr>
                  <w:r w:rsidRPr="00454ADA">
                    <w:rPr>
                      <w:rFonts w:cs="Calibri"/>
                      <w:b/>
                    </w:rPr>
                    <w:t>36-37 GHz</w:t>
                  </w:r>
                </w:p>
                <w:p w14:paraId="6B6CE301" w14:textId="77777777" w:rsidR="003921F7" w:rsidRPr="00454ADA" w:rsidRDefault="003921F7" w:rsidP="002C11EA">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454ADA">
                    <w:rPr>
                      <w:rFonts w:ascii="Calibri" w:hAnsi="Calibri" w:cs="Calibri"/>
                      <w:sz w:val="22"/>
                      <w:szCs w:val="22"/>
                    </w:rPr>
                    <w:t>EARTH EXPLORATION-SATELLITE (passive)</w:t>
                  </w:r>
                </w:p>
                <w:p w14:paraId="4B4D9699" w14:textId="77777777" w:rsidR="003921F7" w:rsidRPr="00454ADA" w:rsidRDefault="003921F7" w:rsidP="002C11EA">
                  <w:pPr>
                    <w:pStyle w:val="TableTextS5"/>
                    <w:keepNext/>
                    <w:keepLines/>
                    <w:tabs>
                      <w:tab w:val="clear" w:pos="170"/>
                      <w:tab w:val="clear" w:pos="567"/>
                      <w:tab w:val="clear" w:pos="737"/>
                      <w:tab w:val="clear" w:pos="2977"/>
                      <w:tab w:val="clear" w:pos="3266"/>
                      <w:tab w:val="left" w:pos="825"/>
                    </w:tabs>
                    <w:spacing w:before="30" w:after="30"/>
                    <w:ind w:left="142" w:hanging="142"/>
                    <w:rPr>
                      <w:rFonts w:ascii="Calibri" w:hAnsi="Calibri" w:cs="Calibri"/>
                      <w:sz w:val="22"/>
                      <w:szCs w:val="22"/>
                    </w:rPr>
                  </w:pPr>
                  <w:r w:rsidRPr="00454ADA">
                    <w:rPr>
                      <w:rFonts w:ascii="Calibri" w:hAnsi="Calibri" w:cs="Calibri"/>
                      <w:sz w:val="22"/>
                      <w:szCs w:val="22"/>
                    </w:rPr>
                    <w:t>FIXED</w:t>
                  </w:r>
                  <w:r w:rsidRPr="00454ADA">
                    <w:rPr>
                      <w:rFonts w:ascii="Calibri" w:hAnsi="Calibri" w:cs="Calibri"/>
                      <w:sz w:val="22"/>
                      <w:szCs w:val="22"/>
                    </w:rPr>
                    <w:tab/>
                  </w:r>
                </w:p>
                <w:p w14:paraId="7A974186" w14:textId="77777777" w:rsidR="003921F7" w:rsidRPr="00454ADA" w:rsidRDefault="003921F7" w:rsidP="002C11EA">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454ADA">
                    <w:rPr>
                      <w:rFonts w:ascii="Calibri" w:hAnsi="Calibri" w:cs="Calibri"/>
                      <w:sz w:val="22"/>
                      <w:szCs w:val="22"/>
                    </w:rPr>
                    <w:t>MOBILE</w:t>
                  </w:r>
                </w:p>
                <w:p w14:paraId="17B998A2" w14:textId="77777777" w:rsidR="003921F7" w:rsidRPr="00454ADA" w:rsidRDefault="003921F7" w:rsidP="002C11EA">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454ADA">
                    <w:rPr>
                      <w:rFonts w:ascii="Calibri" w:hAnsi="Calibri" w:cs="Calibri"/>
                      <w:sz w:val="22"/>
                      <w:szCs w:val="22"/>
                    </w:rPr>
                    <w:t>SPACE RESEARCH (passive)</w:t>
                  </w:r>
                </w:p>
                <w:p w14:paraId="46214882" w14:textId="77777777" w:rsidR="003921F7" w:rsidRPr="00785308" w:rsidRDefault="003921F7" w:rsidP="002C11EA">
                  <w:pPr>
                    <w:pStyle w:val="TableTextS5"/>
                    <w:keepNext/>
                    <w:keepLines/>
                    <w:tabs>
                      <w:tab w:val="clear" w:pos="170"/>
                      <w:tab w:val="clear" w:pos="567"/>
                      <w:tab w:val="clear" w:pos="737"/>
                      <w:tab w:val="clear" w:pos="3266"/>
                    </w:tabs>
                    <w:spacing w:before="30" w:after="30"/>
                    <w:ind w:left="142" w:hanging="142"/>
                    <w:rPr>
                      <w:rFonts w:ascii="Calibri" w:hAnsi="Calibri" w:cs="Calibri"/>
                      <w:b/>
                      <w:bCs/>
                      <w:sz w:val="22"/>
                      <w:szCs w:val="22"/>
                    </w:rPr>
                  </w:pPr>
                  <w:proofErr w:type="gramStart"/>
                  <w:r w:rsidRPr="00785308">
                    <w:rPr>
                      <w:rStyle w:val="Artref"/>
                      <w:rFonts w:ascii="Calibri" w:hAnsi="Calibri" w:cs="Calibri"/>
                      <w:b/>
                      <w:bCs/>
                      <w:sz w:val="22"/>
                      <w:szCs w:val="22"/>
                    </w:rPr>
                    <w:t>5.149  5</w:t>
                  </w:r>
                  <w:proofErr w:type="gramEnd"/>
                  <w:r w:rsidRPr="00785308">
                    <w:rPr>
                      <w:rStyle w:val="Artref"/>
                      <w:rFonts w:ascii="Calibri" w:hAnsi="Calibri" w:cs="Calibri"/>
                      <w:b/>
                      <w:bCs/>
                      <w:sz w:val="22"/>
                      <w:szCs w:val="22"/>
                    </w:rPr>
                    <w:t>.550A</w:t>
                  </w:r>
                </w:p>
              </w:tc>
              <w:tc>
                <w:tcPr>
                  <w:tcW w:w="2336" w:type="dxa"/>
                  <w:shd w:val="clear" w:color="auto" w:fill="auto"/>
                </w:tcPr>
                <w:p w14:paraId="05E76BE9" w14:textId="77777777" w:rsidR="003921F7" w:rsidRPr="00454ADA" w:rsidRDefault="003921F7" w:rsidP="002C11EA">
                  <w:pPr>
                    <w:spacing w:after="0" w:line="240" w:lineRule="auto"/>
                    <w:jc w:val="both"/>
                    <w:rPr>
                      <w:rFonts w:cs="Calibri"/>
                      <w:b/>
                      <w:lang w:val="en-GB"/>
                    </w:rPr>
                  </w:pPr>
                  <w:r w:rsidRPr="00454ADA">
                    <w:rPr>
                      <w:rFonts w:cs="Calibri"/>
                      <w:b/>
                      <w:lang w:val="en-GB"/>
                    </w:rPr>
                    <w:t>36-37 GHz</w:t>
                  </w:r>
                </w:p>
                <w:p w14:paraId="1A238477" w14:textId="77777777" w:rsidR="003921F7" w:rsidRPr="00454ADA" w:rsidRDefault="003921F7" w:rsidP="002C11EA">
                  <w:pPr>
                    <w:spacing w:after="0" w:line="240" w:lineRule="auto"/>
                    <w:jc w:val="both"/>
                    <w:rPr>
                      <w:rFonts w:cs="Calibri"/>
                      <w:lang w:val="en-GB"/>
                    </w:rPr>
                  </w:pPr>
                  <w:r w:rsidRPr="00454ADA">
                    <w:rPr>
                      <w:rFonts w:cs="Calibri"/>
                      <w:lang w:val="en-GB"/>
                    </w:rPr>
                    <w:t xml:space="preserve">EARTH EXPLORATION-SATELLITE (passive) </w:t>
                  </w:r>
                </w:p>
                <w:p w14:paraId="5F9D9342" w14:textId="77777777" w:rsidR="003921F7" w:rsidRPr="00454ADA" w:rsidRDefault="003921F7" w:rsidP="002C11EA">
                  <w:pPr>
                    <w:spacing w:after="0" w:line="240" w:lineRule="auto"/>
                    <w:jc w:val="both"/>
                    <w:rPr>
                      <w:rFonts w:cs="Calibri"/>
                      <w:lang w:val="en-GB"/>
                    </w:rPr>
                  </w:pPr>
                  <w:r w:rsidRPr="00454ADA">
                    <w:rPr>
                      <w:rFonts w:cs="Calibri"/>
                      <w:lang w:val="en-GB"/>
                    </w:rPr>
                    <w:t xml:space="preserve">FIXED </w:t>
                  </w:r>
                </w:p>
                <w:p w14:paraId="3B273680" w14:textId="77777777" w:rsidR="003921F7" w:rsidRPr="00454ADA" w:rsidRDefault="003921F7" w:rsidP="002C11EA">
                  <w:pPr>
                    <w:spacing w:after="0" w:line="240" w:lineRule="auto"/>
                    <w:jc w:val="both"/>
                    <w:rPr>
                      <w:rFonts w:cs="Calibri"/>
                      <w:lang w:val="en-GB"/>
                    </w:rPr>
                  </w:pPr>
                  <w:r w:rsidRPr="00454ADA">
                    <w:rPr>
                      <w:rFonts w:cs="Calibri"/>
                      <w:lang w:val="en-GB"/>
                    </w:rPr>
                    <w:t xml:space="preserve">MOBILE </w:t>
                  </w:r>
                </w:p>
                <w:p w14:paraId="6A629913" w14:textId="77777777" w:rsidR="003921F7" w:rsidRPr="00454ADA" w:rsidRDefault="003921F7" w:rsidP="002C11EA">
                  <w:pPr>
                    <w:spacing w:after="0" w:line="240" w:lineRule="auto"/>
                    <w:jc w:val="both"/>
                    <w:rPr>
                      <w:rFonts w:cs="Calibri"/>
                      <w:lang w:val="en-GB"/>
                    </w:rPr>
                  </w:pPr>
                  <w:r w:rsidRPr="00454ADA">
                    <w:rPr>
                      <w:rFonts w:cs="Calibri"/>
                      <w:lang w:val="en-GB"/>
                    </w:rPr>
                    <w:t>SPACE RESEARCH (passive)</w:t>
                  </w:r>
                </w:p>
                <w:p w14:paraId="6397602B" w14:textId="77777777" w:rsidR="003921F7" w:rsidRPr="00785308" w:rsidRDefault="003921F7" w:rsidP="002C11EA">
                  <w:pPr>
                    <w:spacing w:after="0" w:line="240" w:lineRule="auto"/>
                    <w:jc w:val="both"/>
                    <w:rPr>
                      <w:rFonts w:cs="Calibri"/>
                      <w:b/>
                    </w:rPr>
                  </w:pPr>
                  <w:proofErr w:type="gramStart"/>
                  <w:r w:rsidRPr="00785308">
                    <w:rPr>
                      <w:rFonts w:cs="Calibri"/>
                      <w:b/>
                      <w:lang w:val="en-GB"/>
                    </w:rPr>
                    <w:t>5.149  5</w:t>
                  </w:r>
                  <w:proofErr w:type="gramEnd"/>
                  <w:r w:rsidRPr="00785308">
                    <w:rPr>
                      <w:rFonts w:cs="Calibri"/>
                      <w:b/>
                      <w:lang w:val="en-GB"/>
                    </w:rPr>
                    <w:t>.550A</w:t>
                  </w:r>
                </w:p>
              </w:tc>
              <w:tc>
                <w:tcPr>
                  <w:tcW w:w="2336" w:type="dxa"/>
                  <w:shd w:val="clear" w:color="auto" w:fill="auto"/>
                </w:tcPr>
                <w:p w14:paraId="41512B89" w14:textId="77777777" w:rsidR="003921F7" w:rsidRPr="00454ADA" w:rsidRDefault="003921F7" w:rsidP="002C11EA">
                  <w:pPr>
                    <w:spacing w:after="0" w:line="240" w:lineRule="auto"/>
                    <w:jc w:val="both"/>
                    <w:rPr>
                      <w:rFonts w:cs="Calibri"/>
                    </w:rPr>
                  </w:pPr>
                </w:p>
                <w:p w14:paraId="61FFFF68" w14:textId="77777777" w:rsidR="003921F7" w:rsidRPr="00454ADA" w:rsidRDefault="003921F7" w:rsidP="002C11EA">
                  <w:pPr>
                    <w:rPr>
                      <w:rFonts w:cs="Calibri"/>
                    </w:rPr>
                  </w:pPr>
                </w:p>
                <w:p w14:paraId="34F6346A" w14:textId="77777777" w:rsidR="003921F7" w:rsidRPr="00454ADA" w:rsidRDefault="003921F7" w:rsidP="002C11EA">
                  <w:pPr>
                    <w:rPr>
                      <w:rFonts w:cs="Calibri"/>
                    </w:rPr>
                  </w:pPr>
                </w:p>
                <w:p w14:paraId="6445951B" w14:textId="77777777" w:rsidR="003921F7" w:rsidRPr="00454ADA" w:rsidRDefault="003921F7" w:rsidP="002C11EA">
                  <w:pPr>
                    <w:jc w:val="right"/>
                    <w:rPr>
                      <w:rFonts w:cs="Calibri"/>
                    </w:rPr>
                  </w:pPr>
                </w:p>
              </w:tc>
              <w:tc>
                <w:tcPr>
                  <w:tcW w:w="2337" w:type="dxa"/>
                  <w:shd w:val="clear" w:color="auto" w:fill="auto"/>
                </w:tcPr>
                <w:p w14:paraId="5C761B67" w14:textId="77777777" w:rsidR="003921F7" w:rsidRPr="00454ADA" w:rsidRDefault="003921F7" w:rsidP="002C11EA">
                  <w:pPr>
                    <w:spacing w:after="0" w:line="240" w:lineRule="auto"/>
                    <w:jc w:val="both"/>
                    <w:rPr>
                      <w:rFonts w:cs="Calibri"/>
                    </w:rPr>
                  </w:pPr>
                  <w:r w:rsidRPr="00454ADA">
                    <w:rPr>
                      <w:rFonts w:cs="Calibri"/>
                      <w:lang w:val="en-GB"/>
                    </w:rPr>
                    <w:t xml:space="preserve">In making assignments to stations in the frequency band 36.43-36.5 GHz, </w:t>
                  </w:r>
                  <w:r>
                    <w:rPr>
                      <w:rFonts w:cs="Calibri"/>
                      <w:lang w:val="en-GB"/>
                    </w:rPr>
                    <w:t>A</w:t>
                  </w:r>
                  <w:r w:rsidRPr="00454ADA">
                    <w:rPr>
                      <w:rFonts w:cs="Calibri"/>
                      <w:lang w:val="en-GB"/>
                    </w:rPr>
                    <w:t xml:space="preserve">dministrations are urged to </w:t>
                  </w:r>
                  <w:proofErr w:type="gramStart"/>
                  <w:r w:rsidRPr="00454ADA">
                    <w:rPr>
                      <w:rFonts w:cs="Calibri"/>
                      <w:lang w:val="en-GB"/>
                    </w:rPr>
                    <w:t>give consideration to</w:t>
                  </w:r>
                  <w:proofErr w:type="gramEnd"/>
                  <w:r w:rsidRPr="00454ADA">
                    <w:rPr>
                      <w:rFonts w:cs="Calibri"/>
                      <w:lang w:val="en-GB"/>
                    </w:rPr>
                    <w:t xml:space="preserve"> Radio Astronomy applications as per RR n° 5.149</w:t>
                  </w:r>
                </w:p>
              </w:tc>
            </w:tr>
          </w:tbl>
          <w:p w14:paraId="1772E6ED" w14:textId="77777777" w:rsidR="003921F7" w:rsidRDefault="003921F7" w:rsidP="002C11EA">
            <w:pPr>
              <w:spacing w:after="0" w:line="240" w:lineRule="auto"/>
              <w:jc w:val="both"/>
              <w:rPr>
                <w:rFonts w:cs="Calibri"/>
                <w:sz w:val="20"/>
                <w:szCs w:val="20"/>
              </w:rPr>
            </w:pPr>
          </w:p>
          <w:p w14:paraId="2E11D503" w14:textId="77777777" w:rsidR="003921F7" w:rsidRDefault="003921F7" w:rsidP="002C11EA">
            <w:pPr>
              <w:spacing w:after="0" w:line="240" w:lineRule="auto"/>
              <w:jc w:val="both"/>
              <w:rPr>
                <w:rFonts w:cs="Calibri"/>
                <w:sz w:val="20"/>
                <w:szCs w:val="20"/>
              </w:rPr>
            </w:pPr>
          </w:p>
          <w:p w14:paraId="7D258F6E" w14:textId="77777777" w:rsidR="003921F7" w:rsidRPr="006506C7" w:rsidRDefault="003921F7" w:rsidP="002C11EA">
            <w:pPr>
              <w:spacing w:after="0" w:line="240" w:lineRule="auto"/>
              <w:jc w:val="both"/>
              <w:rPr>
                <w:rFonts w:cs="Calibri"/>
                <w:sz w:val="20"/>
                <w:szCs w:val="20"/>
              </w:rPr>
            </w:pPr>
          </w:p>
        </w:tc>
      </w:tr>
      <w:tr w:rsidR="003921F7" w:rsidRPr="00FA64B6" w14:paraId="7CA4EE97" w14:textId="77777777" w:rsidTr="002C11EA">
        <w:tc>
          <w:tcPr>
            <w:tcW w:w="9576" w:type="dxa"/>
          </w:tcPr>
          <w:p w14:paraId="02727952" w14:textId="77777777" w:rsidR="003921F7" w:rsidRPr="00FA64B6" w:rsidRDefault="003921F7" w:rsidP="002C11EA">
            <w:pPr>
              <w:spacing w:after="0" w:line="240" w:lineRule="auto"/>
              <w:rPr>
                <w:rFonts w:cs="Calibri"/>
                <w:b/>
                <w:i/>
                <w:color w:val="00B050"/>
                <w:spacing w:val="60"/>
                <w:sz w:val="20"/>
                <w:szCs w:val="20"/>
              </w:rPr>
            </w:pPr>
            <w:r w:rsidRPr="00FA64B6">
              <w:rPr>
                <w:rFonts w:cs="Calibri"/>
                <w:b/>
                <w:i/>
                <w:color w:val="00B050"/>
                <w:spacing w:val="60"/>
                <w:sz w:val="20"/>
                <w:szCs w:val="20"/>
              </w:rPr>
              <w:lastRenderedPageBreak/>
              <w:t xml:space="preserve">Part D: Conclusion of the results of </w:t>
            </w:r>
            <w:proofErr w:type="gramStart"/>
            <w:r w:rsidRPr="00FA64B6">
              <w:rPr>
                <w:rFonts w:cs="Calibri"/>
                <w:b/>
                <w:i/>
                <w:color w:val="00B050"/>
                <w:spacing w:val="60"/>
                <w:sz w:val="20"/>
                <w:szCs w:val="20"/>
              </w:rPr>
              <w:t>studies, if</w:t>
            </w:r>
            <w:proofErr w:type="gramEnd"/>
            <w:r w:rsidRPr="00FA64B6">
              <w:rPr>
                <w:rFonts w:cs="Calibri"/>
                <w:b/>
                <w:i/>
                <w:color w:val="00B050"/>
                <w:spacing w:val="60"/>
                <w:sz w:val="20"/>
                <w:szCs w:val="20"/>
              </w:rPr>
              <w:t xml:space="preserve"> any</w:t>
            </w:r>
          </w:p>
        </w:tc>
      </w:tr>
      <w:tr w:rsidR="003921F7" w:rsidRPr="00C943B1" w14:paraId="049F37B8" w14:textId="77777777" w:rsidTr="002C11EA">
        <w:trPr>
          <w:trHeight w:val="878"/>
        </w:trPr>
        <w:tc>
          <w:tcPr>
            <w:tcW w:w="9576" w:type="dxa"/>
          </w:tcPr>
          <w:p w14:paraId="5E6212B6" w14:textId="77777777" w:rsidR="003921F7" w:rsidRPr="00785308" w:rsidRDefault="003921F7" w:rsidP="002C11EA">
            <w:pPr>
              <w:spacing w:before="240" w:after="0" w:line="240" w:lineRule="auto"/>
              <w:jc w:val="both"/>
              <w:rPr>
                <w:rFonts w:cs="Calibri"/>
                <w:iCs/>
                <w:sz w:val="24"/>
                <w:szCs w:val="24"/>
              </w:rPr>
            </w:pPr>
            <w:r w:rsidRPr="00785308">
              <w:rPr>
                <w:rFonts w:cs="Calibri"/>
                <w:iCs/>
                <w:sz w:val="24"/>
                <w:szCs w:val="24"/>
              </w:rPr>
              <w:t>ITU- R WP 7C is the responsible group for WRC-23 agenda item 9.1 topic (d) for protection of EESS (passive) in the frequency band 36-37 GHz.</w:t>
            </w:r>
          </w:p>
          <w:p w14:paraId="7374CA9F" w14:textId="77777777" w:rsidR="003921F7" w:rsidRPr="00785308" w:rsidRDefault="003921F7" w:rsidP="002C11EA">
            <w:pPr>
              <w:spacing w:after="0" w:line="240" w:lineRule="auto"/>
              <w:jc w:val="both"/>
              <w:rPr>
                <w:rFonts w:cs="Calibri"/>
                <w:iCs/>
                <w:sz w:val="24"/>
                <w:szCs w:val="24"/>
              </w:rPr>
            </w:pPr>
          </w:p>
          <w:p w14:paraId="628E354A" w14:textId="77777777" w:rsidR="003921F7" w:rsidRPr="005104F1" w:rsidRDefault="003921F7" w:rsidP="002C11EA">
            <w:pPr>
              <w:jc w:val="both"/>
              <w:rPr>
                <w:rFonts w:cs="Calibri"/>
                <w:sz w:val="20"/>
                <w:szCs w:val="20"/>
              </w:rPr>
            </w:pPr>
            <w:r w:rsidRPr="00785308">
              <w:rPr>
                <w:rFonts w:cs="Calibri"/>
                <w:iCs/>
                <w:sz w:val="24"/>
                <w:szCs w:val="24"/>
              </w:rPr>
              <w:t xml:space="preserve">ITU-R WP 7C reviewed the preliminary draft new Report ITU-R S.[50/40 GHZ ADJACENT BAND STUDIES] that was developed by ITU-R 4A. ITU-R WP 7C  subsequently  developed a liaison statement to ITU-R WP 4A to seek information on  whether the preliminary study in Annex 1 of this preliminary draft report contains the appropriate non GSO FSS transmission (including unwanted emission characteristics in the band 36-37 GHz) and constellation parameters that are to be used in the studies conducted under issue one of this Topic.  The response from the ITU-WP 4A is yet to be received by ITU WP-7C. </w:t>
            </w:r>
          </w:p>
        </w:tc>
      </w:tr>
      <w:tr w:rsidR="003921F7" w:rsidRPr="00FA64B6" w14:paraId="2A904362" w14:textId="77777777" w:rsidTr="002C11EA">
        <w:tc>
          <w:tcPr>
            <w:tcW w:w="9576" w:type="dxa"/>
          </w:tcPr>
          <w:p w14:paraId="6B294D88" w14:textId="77777777" w:rsidR="003921F7" w:rsidRPr="00FA64B6" w:rsidRDefault="003921F7" w:rsidP="002C11EA">
            <w:pPr>
              <w:spacing w:after="0" w:line="240" w:lineRule="auto"/>
              <w:rPr>
                <w:rFonts w:cs="Calibri"/>
                <w:b/>
                <w:i/>
                <w:color w:val="00B050"/>
                <w:spacing w:val="60"/>
                <w:sz w:val="20"/>
                <w:szCs w:val="20"/>
              </w:rPr>
            </w:pPr>
            <w:r w:rsidRPr="00FA64B6">
              <w:rPr>
                <w:rFonts w:cs="Calibri"/>
                <w:b/>
                <w:i/>
                <w:color w:val="00B050"/>
                <w:spacing w:val="60"/>
                <w:sz w:val="20"/>
                <w:szCs w:val="20"/>
              </w:rPr>
              <w:t>Part E: Options and Associated Implications</w:t>
            </w:r>
          </w:p>
        </w:tc>
      </w:tr>
      <w:tr w:rsidR="003921F7" w:rsidRPr="00C943B1" w14:paraId="7133831F" w14:textId="77777777" w:rsidTr="002C11EA">
        <w:trPr>
          <w:trHeight w:val="866"/>
        </w:trPr>
        <w:tc>
          <w:tcPr>
            <w:tcW w:w="9576" w:type="dxa"/>
          </w:tcPr>
          <w:p w14:paraId="7B75CC82" w14:textId="77777777" w:rsidR="003921F7" w:rsidRPr="00EC3F9E" w:rsidRDefault="003921F7" w:rsidP="002C11EA">
            <w:pPr>
              <w:spacing w:before="240" w:after="0" w:line="240" w:lineRule="auto"/>
              <w:jc w:val="both"/>
              <w:rPr>
                <w:rFonts w:cs="Calibri"/>
                <w:sz w:val="20"/>
                <w:szCs w:val="20"/>
              </w:rPr>
            </w:pPr>
            <w:r w:rsidRPr="00D27382">
              <w:rPr>
                <w:rFonts w:cs="Calibri"/>
                <w:iCs/>
                <w:sz w:val="24"/>
                <w:szCs w:val="24"/>
              </w:rPr>
              <w:lastRenderedPageBreak/>
              <w:t>These are yet to be established</w:t>
            </w:r>
            <w:r>
              <w:rPr>
                <w:rFonts w:cs="Calibri"/>
                <w:iCs/>
                <w:sz w:val="24"/>
                <w:szCs w:val="24"/>
              </w:rPr>
              <w:t>.</w:t>
            </w:r>
          </w:p>
        </w:tc>
      </w:tr>
      <w:tr w:rsidR="003921F7" w:rsidRPr="00FA64B6" w14:paraId="32AA8FF3" w14:textId="77777777" w:rsidTr="002C11EA">
        <w:trPr>
          <w:trHeight w:val="60"/>
        </w:trPr>
        <w:tc>
          <w:tcPr>
            <w:tcW w:w="9576" w:type="dxa"/>
          </w:tcPr>
          <w:p w14:paraId="603A2BAE" w14:textId="33FF084C" w:rsidR="003921F7" w:rsidRPr="00FA64B6" w:rsidRDefault="003921F7" w:rsidP="002C11EA">
            <w:pPr>
              <w:spacing w:after="0" w:line="240" w:lineRule="auto"/>
              <w:rPr>
                <w:rFonts w:cs="Calibri"/>
                <w:b/>
                <w:i/>
                <w:color w:val="00B050"/>
                <w:spacing w:val="60"/>
                <w:sz w:val="20"/>
                <w:szCs w:val="20"/>
              </w:rPr>
            </w:pPr>
            <w:r w:rsidRPr="00FA64B6">
              <w:rPr>
                <w:rFonts w:cs="Calibri"/>
                <w:b/>
                <w:i/>
                <w:color w:val="00B050"/>
                <w:spacing w:val="60"/>
                <w:sz w:val="20"/>
                <w:szCs w:val="20"/>
              </w:rPr>
              <w:t xml:space="preserve">Part F: Proposed </w:t>
            </w:r>
            <w:r w:rsidR="00753608">
              <w:rPr>
                <w:rFonts w:cs="Calibri"/>
                <w:b/>
                <w:i/>
                <w:color w:val="00B050"/>
                <w:spacing w:val="60"/>
                <w:sz w:val="20"/>
                <w:szCs w:val="20"/>
              </w:rPr>
              <w:t>EACO</w:t>
            </w:r>
            <w:r w:rsidRPr="00FA64B6">
              <w:rPr>
                <w:rFonts w:cs="Calibri"/>
                <w:b/>
                <w:i/>
                <w:color w:val="00B050"/>
                <w:spacing w:val="60"/>
                <w:sz w:val="20"/>
                <w:szCs w:val="20"/>
              </w:rPr>
              <w:t xml:space="preserve"> Common View and/or Position</w:t>
            </w:r>
          </w:p>
        </w:tc>
      </w:tr>
      <w:tr w:rsidR="003921F7" w:rsidRPr="00C943B1" w14:paraId="47236A66" w14:textId="77777777" w:rsidTr="002C11EA">
        <w:trPr>
          <w:trHeight w:val="998"/>
        </w:trPr>
        <w:tc>
          <w:tcPr>
            <w:tcW w:w="9576" w:type="dxa"/>
          </w:tcPr>
          <w:p w14:paraId="546119AB" w14:textId="77777777" w:rsidR="003921F7" w:rsidRDefault="003921F7" w:rsidP="002C11EA">
            <w:pPr>
              <w:spacing w:after="0" w:line="240" w:lineRule="auto"/>
              <w:jc w:val="both"/>
              <w:rPr>
                <w:rFonts w:cs="Calibri"/>
                <w:sz w:val="20"/>
                <w:szCs w:val="20"/>
              </w:rPr>
            </w:pPr>
          </w:p>
          <w:p w14:paraId="2C229E66" w14:textId="77777777" w:rsidR="003921F7" w:rsidRPr="00261F0B" w:rsidRDefault="003921F7" w:rsidP="002C11EA">
            <w:pPr>
              <w:widowControl w:val="0"/>
              <w:autoSpaceDE w:val="0"/>
              <w:autoSpaceDN w:val="0"/>
              <w:adjustRightInd w:val="0"/>
              <w:jc w:val="both"/>
              <w:rPr>
                <w:rFonts w:cs="Calibri"/>
                <w:sz w:val="20"/>
                <w:szCs w:val="20"/>
              </w:rPr>
            </w:pPr>
            <w:r w:rsidRPr="00785308">
              <w:rPr>
                <w:rFonts w:cs="Calibri"/>
                <w:iCs/>
                <w:sz w:val="24"/>
                <w:szCs w:val="24"/>
              </w:rPr>
              <w:t xml:space="preserve">Support studies in ITU-R for the protection of EESS (passive) sensors operating in the band 36-37 GHz from non-GSO FSS systems in the band 37.5-38 GHz, with due consideration of operational aspects of non-GSO FSS system, </w:t>
            </w:r>
            <w:r w:rsidRPr="00785308">
              <w:rPr>
                <w:rFonts w:cs="Calibri" w:hint="eastAsia"/>
                <w:iCs/>
                <w:sz w:val="24"/>
                <w:szCs w:val="24"/>
              </w:rPr>
              <w:t>l</w:t>
            </w:r>
            <w:r w:rsidRPr="00785308">
              <w:rPr>
                <w:rFonts w:cs="Calibri"/>
                <w:iCs/>
                <w:sz w:val="24"/>
                <w:szCs w:val="24"/>
              </w:rPr>
              <w:t>eading to Recommendations and/or Reports as appropriate</w:t>
            </w:r>
            <w:r w:rsidRPr="00785308">
              <w:rPr>
                <w:rFonts w:cs="Calibri"/>
                <w:i/>
                <w:sz w:val="24"/>
                <w:szCs w:val="24"/>
              </w:rPr>
              <w:t>.</w:t>
            </w:r>
          </w:p>
        </w:tc>
      </w:tr>
      <w:tr w:rsidR="003921F7" w:rsidRPr="00FA64B6" w14:paraId="36B4C02D" w14:textId="77777777" w:rsidTr="002C11EA">
        <w:trPr>
          <w:trHeight w:val="60"/>
        </w:trPr>
        <w:tc>
          <w:tcPr>
            <w:tcW w:w="9576" w:type="dxa"/>
          </w:tcPr>
          <w:p w14:paraId="34B59F80" w14:textId="77777777" w:rsidR="003921F7" w:rsidRPr="00FA64B6" w:rsidRDefault="003921F7" w:rsidP="002C11EA">
            <w:pPr>
              <w:spacing w:after="0" w:line="240" w:lineRule="auto"/>
              <w:rPr>
                <w:rFonts w:cs="Calibri"/>
                <w:i/>
                <w:color w:val="00B050"/>
                <w:sz w:val="20"/>
                <w:szCs w:val="20"/>
              </w:rPr>
            </w:pPr>
            <w:r w:rsidRPr="00FA64B6">
              <w:rPr>
                <w:rFonts w:cs="Calibri"/>
                <w:b/>
                <w:i/>
                <w:color w:val="00B050"/>
                <w:spacing w:val="60"/>
                <w:sz w:val="20"/>
                <w:szCs w:val="20"/>
              </w:rPr>
              <w:t>Part G: Recommendations and Way Forward</w:t>
            </w:r>
          </w:p>
        </w:tc>
      </w:tr>
      <w:tr w:rsidR="003921F7" w:rsidRPr="00F72AC9" w14:paraId="67DB7E16" w14:textId="77777777" w:rsidTr="002C11EA">
        <w:trPr>
          <w:trHeight w:val="1028"/>
        </w:trPr>
        <w:tc>
          <w:tcPr>
            <w:tcW w:w="9576" w:type="dxa"/>
          </w:tcPr>
          <w:p w14:paraId="4F3D4D8C" w14:textId="228ABE95" w:rsidR="003921F7" w:rsidRPr="00785308" w:rsidRDefault="00753608" w:rsidP="002C11EA">
            <w:pPr>
              <w:spacing w:before="240" w:after="0"/>
              <w:rPr>
                <w:rFonts w:cs="Calibri"/>
                <w:iCs/>
                <w:sz w:val="24"/>
                <w:szCs w:val="24"/>
              </w:rPr>
            </w:pPr>
            <w:r>
              <w:rPr>
                <w:rFonts w:cs="Calibri"/>
                <w:iCs/>
                <w:sz w:val="20"/>
                <w:szCs w:val="20"/>
              </w:rPr>
              <w:t>EACO</w:t>
            </w:r>
            <w:r w:rsidR="003921F7" w:rsidRPr="00785308">
              <w:rPr>
                <w:rFonts w:cs="Calibri"/>
                <w:iCs/>
                <w:sz w:val="24"/>
                <w:szCs w:val="24"/>
              </w:rPr>
              <w:t xml:space="preserve"> invites </w:t>
            </w:r>
            <w:r>
              <w:rPr>
                <w:rFonts w:cs="Calibri"/>
                <w:iCs/>
                <w:sz w:val="24"/>
                <w:szCs w:val="24"/>
              </w:rPr>
              <w:t>member states</w:t>
            </w:r>
            <w:r w:rsidR="003921F7" w:rsidRPr="00785308">
              <w:rPr>
                <w:rFonts w:cs="Calibri"/>
                <w:iCs/>
                <w:sz w:val="24"/>
                <w:szCs w:val="24"/>
              </w:rPr>
              <w:t xml:space="preserve"> to: </w:t>
            </w:r>
          </w:p>
          <w:p w14:paraId="7DD4CD78" w14:textId="4347CFFD" w:rsidR="003921F7" w:rsidRPr="004D4BCE" w:rsidRDefault="003921F7" w:rsidP="003921F7">
            <w:pPr>
              <w:numPr>
                <w:ilvl w:val="0"/>
                <w:numId w:val="20"/>
              </w:numPr>
              <w:spacing w:after="0" w:line="240" w:lineRule="auto"/>
              <w:jc w:val="both"/>
              <w:rPr>
                <w:rFonts w:eastAsia="MS Mincho"/>
                <w:lang w:val="en-NZ" w:eastAsia="ja-JP"/>
              </w:rPr>
            </w:pPr>
            <w:r w:rsidRPr="00785308">
              <w:rPr>
                <w:rFonts w:cs="Calibri"/>
                <w:iCs/>
                <w:sz w:val="24"/>
                <w:szCs w:val="24"/>
              </w:rPr>
              <w:t xml:space="preserve">Participate </w:t>
            </w:r>
            <w:r w:rsidR="00A6079C">
              <w:rPr>
                <w:rFonts w:cs="Calibri"/>
                <w:iCs/>
                <w:sz w:val="24"/>
                <w:szCs w:val="24"/>
              </w:rPr>
              <w:t xml:space="preserve">in </w:t>
            </w:r>
            <w:r w:rsidRPr="00785308">
              <w:rPr>
                <w:rFonts w:cs="Calibri"/>
                <w:iCs/>
                <w:sz w:val="24"/>
                <w:szCs w:val="24"/>
              </w:rPr>
              <w:t xml:space="preserve">the </w:t>
            </w:r>
            <w:r w:rsidR="00A6079C" w:rsidRPr="00785308">
              <w:rPr>
                <w:rFonts w:cs="Calibri"/>
                <w:iCs/>
                <w:sz w:val="24"/>
                <w:szCs w:val="24"/>
              </w:rPr>
              <w:t xml:space="preserve">ITU-R </w:t>
            </w:r>
            <w:r w:rsidRPr="00785308">
              <w:rPr>
                <w:rFonts w:cs="Calibri"/>
                <w:iCs/>
                <w:sz w:val="24"/>
                <w:szCs w:val="24"/>
              </w:rPr>
              <w:t>studies, and to submit their views to the next meetings</w:t>
            </w:r>
            <w:r w:rsidR="00A6079C">
              <w:rPr>
                <w:rFonts w:cs="Calibri"/>
                <w:iCs/>
                <w:sz w:val="24"/>
                <w:szCs w:val="24"/>
              </w:rPr>
              <w:t xml:space="preserve"> (either as EACO block, multinational contribution or otherwise)</w:t>
            </w:r>
            <w:r w:rsidRPr="00785308">
              <w:rPr>
                <w:rFonts w:cs="Calibri"/>
                <w:iCs/>
                <w:sz w:val="24"/>
                <w:szCs w:val="24"/>
              </w:rPr>
              <w:t>.</w:t>
            </w:r>
          </w:p>
        </w:tc>
      </w:tr>
      <w:tr w:rsidR="003921F7" w:rsidRPr="00F72AC9" w14:paraId="70B0075B" w14:textId="77777777" w:rsidTr="002C11EA">
        <w:trPr>
          <w:trHeight w:val="416"/>
        </w:trPr>
        <w:tc>
          <w:tcPr>
            <w:tcW w:w="9576" w:type="dxa"/>
          </w:tcPr>
          <w:p w14:paraId="6A80F7D1" w14:textId="269B5081" w:rsidR="003921F7" w:rsidRPr="00C943B1" w:rsidRDefault="008709D7" w:rsidP="002C11EA">
            <w:pPr>
              <w:spacing w:after="0" w:line="240" w:lineRule="auto"/>
              <w:jc w:val="both"/>
              <w:rPr>
                <w:rFonts w:cs="Calibri"/>
                <w:sz w:val="20"/>
                <w:szCs w:val="20"/>
              </w:rPr>
            </w:pPr>
            <w:r w:rsidRPr="008709D7">
              <w:rPr>
                <w:rFonts w:cs="Calibri"/>
                <w:b/>
                <w:i/>
                <w:color w:val="00B050"/>
                <w:spacing w:val="60"/>
                <w:sz w:val="20"/>
                <w:szCs w:val="20"/>
              </w:rPr>
              <w:t>Part H: Regional Groups and international organizations Preliminary Positions</w:t>
            </w:r>
          </w:p>
        </w:tc>
      </w:tr>
      <w:tr w:rsidR="003921F7" w:rsidRPr="00F72AC9" w14:paraId="3443F259" w14:textId="77777777" w:rsidTr="002C11EA">
        <w:trPr>
          <w:trHeight w:val="1268"/>
        </w:trPr>
        <w:tc>
          <w:tcPr>
            <w:tcW w:w="9576" w:type="dxa"/>
          </w:tcPr>
          <w:p w14:paraId="2C17269F" w14:textId="77777777" w:rsidR="003921F7" w:rsidRPr="00785308" w:rsidRDefault="003921F7" w:rsidP="002C11EA">
            <w:pPr>
              <w:spacing w:after="0" w:line="240" w:lineRule="auto"/>
              <w:jc w:val="both"/>
              <w:rPr>
                <w:rFonts w:cs="Calibri"/>
                <w:i/>
                <w:sz w:val="24"/>
                <w:szCs w:val="24"/>
              </w:rPr>
            </w:pPr>
          </w:p>
          <w:p w14:paraId="0F315F48" w14:textId="77777777" w:rsidR="003921F7" w:rsidRPr="00785308" w:rsidRDefault="003921F7" w:rsidP="002C11EA">
            <w:pPr>
              <w:spacing w:after="0" w:line="240" w:lineRule="auto"/>
              <w:jc w:val="both"/>
              <w:rPr>
                <w:rFonts w:cs="Calibri"/>
                <w:b/>
                <w:bCs/>
                <w:i/>
                <w:sz w:val="24"/>
                <w:szCs w:val="24"/>
              </w:rPr>
            </w:pPr>
            <w:r w:rsidRPr="00785308">
              <w:rPr>
                <w:rFonts w:cs="Calibri"/>
                <w:b/>
                <w:bCs/>
                <w:i/>
                <w:sz w:val="24"/>
                <w:szCs w:val="24"/>
              </w:rPr>
              <w:t xml:space="preserve">APT (as of April 2021) </w:t>
            </w:r>
          </w:p>
          <w:p w14:paraId="74210580" w14:textId="77777777" w:rsidR="003921F7" w:rsidRPr="009376F6" w:rsidRDefault="003921F7" w:rsidP="002C11EA">
            <w:pPr>
              <w:spacing w:after="0"/>
              <w:jc w:val="both"/>
              <w:textAlignment w:val="baseline"/>
              <w:rPr>
                <w:rFonts w:cs="Calibri"/>
                <w:iCs/>
                <w:sz w:val="24"/>
                <w:szCs w:val="24"/>
              </w:rPr>
            </w:pPr>
            <w:r w:rsidRPr="009376F6">
              <w:rPr>
                <w:rFonts w:cs="Calibri"/>
                <w:iCs/>
                <w:sz w:val="24"/>
                <w:szCs w:val="24"/>
              </w:rPr>
              <w:t xml:space="preserve">Support studies in ITU-R for the protection of EESS (passive) sensors operating in the band 36-37 GHz from non-GSO FSS systems in the band 37.5-38 GHz, with due consideration of operational aspects of non-GSO FSS system, </w:t>
            </w:r>
            <w:r w:rsidRPr="009376F6">
              <w:rPr>
                <w:rFonts w:cs="Calibri" w:hint="eastAsia"/>
                <w:iCs/>
                <w:sz w:val="24"/>
                <w:szCs w:val="24"/>
              </w:rPr>
              <w:t>l</w:t>
            </w:r>
            <w:r w:rsidRPr="009376F6">
              <w:rPr>
                <w:rFonts w:cs="Calibri"/>
                <w:iCs/>
                <w:sz w:val="24"/>
                <w:szCs w:val="24"/>
              </w:rPr>
              <w:t>eading to Recommendations and/or Reports as appropriate.</w:t>
            </w:r>
          </w:p>
          <w:p w14:paraId="31DCF01E" w14:textId="77777777" w:rsidR="003921F7" w:rsidRPr="00785308" w:rsidRDefault="003921F7" w:rsidP="002C11EA">
            <w:pPr>
              <w:spacing w:after="0"/>
              <w:textAlignment w:val="baseline"/>
              <w:rPr>
                <w:rFonts w:cs="Calibri"/>
                <w:i/>
                <w:sz w:val="24"/>
                <w:szCs w:val="24"/>
              </w:rPr>
            </w:pPr>
          </w:p>
          <w:p w14:paraId="03F4890B" w14:textId="77777777" w:rsidR="003921F7" w:rsidRPr="00785308" w:rsidRDefault="003921F7" w:rsidP="002C11EA">
            <w:pPr>
              <w:spacing w:after="0"/>
              <w:textAlignment w:val="baseline"/>
              <w:rPr>
                <w:rFonts w:cs="Calibri"/>
                <w:b/>
                <w:bCs/>
                <w:i/>
                <w:sz w:val="24"/>
                <w:szCs w:val="24"/>
              </w:rPr>
            </w:pPr>
            <w:r w:rsidRPr="00785308">
              <w:rPr>
                <w:rFonts w:cs="Calibri"/>
                <w:b/>
                <w:bCs/>
                <w:i/>
                <w:sz w:val="24"/>
                <w:szCs w:val="24"/>
              </w:rPr>
              <w:t>ASMG (as of April 2021)</w:t>
            </w:r>
          </w:p>
          <w:p w14:paraId="573A0BD0" w14:textId="77777777" w:rsidR="003921F7" w:rsidRPr="009376F6" w:rsidRDefault="003921F7" w:rsidP="009376F6">
            <w:pPr>
              <w:spacing w:after="0"/>
              <w:jc w:val="both"/>
              <w:textAlignment w:val="baseline"/>
              <w:rPr>
                <w:rFonts w:cs="Calibri"/>
                <w:iCs/>
                <w:sz w:val="24"/>
                <w:szCs w:val="24"/>
              </w:rPr>
            </w:pPr>
            <w:r w:rsidRPr="009376F6">
              <w:rPr>
                <w:rFonts w:cs="Calibri"/>
                <w:iCs/>
                <w:sz w:val="24"/>
                <w:szCs w:val="24"/>
              </w:rPr>
              <w:t>Inviting ASMG administrations to follow up the studies and ensure protection of existing systems in the frequency band 36-37 GHz.</w:t>
            </w:r>
          </w:p>
          <w:p w14:paraId="68E419D4" w14:textId="77777777" w:rsidR="003921F7" w:rsidRPr="00785308" w:rsidRDefault="003921F7" w:rsidP="002C11EA">
            <w:pPr>
              <w:spacing w:after="0"/>
              <w:rPr>
                <w:rFonts w:cs="Calibri"/>
                <w:b/>
                <w:bCs/>
                <w:i/>
                <w:sz w:val="24"/>
                <w:szCs w:val="24"/>
              </w:rPr>
            </w:pPr>
            <w:r w:rsidRPr="00785308">
              <w:rPr>
                <w:rFonts w:cs="Calibri"/>
                <w:b/>
                <w:bCs/>
                <w:i/>
                <w:sz w:val="24"/>
                <w:szCs w:val="24"/>
              </w:rPr>
              <w:t xml:space="preserve">CEPT (as of April 2021) </w:t>
            </w:r>
          </w:p>
          <w:p w14:paraId="11BFD01B" w14:textId="77777777" w:rsidR="003921F7" w:rsidRPr="009376F6" w:rsidRDefault="003921F7" w:rsidP="002C11EA">
            <w:pPr>
              <w:jc w:val="both"/>
              <w:rPr>
                <w:rFonts w:cs="Calibri"/>
                <w:iCs/>
                <w:sz w:val="24"/>
                <w:szCs w:val="24"/>
              </w:rPr>
            </w:pPr>
            <w:r w:rsidRPr="009376F6">
              <w:rPr>
                <w:rFonts w:cs="Calibri"/>
                <w:iCs/>
                <w:sz w:val="24"/>
                <w:szCs w:val="24"/>
              </w:rPr>
              <w:t>Supports the protection of EESS (passive) sensors operating in the frequency band 36‐37 GHz from NGSO FSS systems operating in the band 37.5‐38 GHz and the determination of relevant conditions that would ensure such protection.</w:t>
            </w:r>
          </w:p>
          <w:p w14:paraId="069F597A" w14:textId="77777777" w:rsidR="003921F7" w:rsidRPr="00785308" w:rsidRDefault="003921F7" w:rsidP="002C11EA">
            <w:pPr>
              <w:spacing w:after="0"/>
              <w:rPr>
                <w:rFonts w:cs="Calibri"/>
                <w:b/>
                <w:bCs/>
                <w:i/>
                <w:sz w:val="24"/>
                <w:szCs w:val="24"/>
              </w:rPr>
            </w:pPr>
            <w:r w:rsidRPr="00785308">
              <w:rPr>
                <w:rFonts w:cs="Calibri"/>
                <w:b/>
                <w:bCs/>
                <w:i/>
                <w:sz w:val="24"/>
                <w:szCs w:val="24"/>
              </w:rPr>
              <w:t xml:space="preserve">CITEL  </w:t>
            </w:r>
          </w:p>
          <w:p w14:paraId="6E37F2AF" w14:textId="77777777" w:rsidR="009376F6" w:rsidRDefault="003921F7" w:rsidP="009376F6">
            <w:pPr>
              <w:jc w:val="both"/>
              <w:rPr>
                <w:rFonts w:cs="Calibri"/>
                <w:iCs/>
                <w:sz w:val="24"/>
                <w:szCs w:val="24"/>
              </w:rPr>
            </w:pPr>
            <w:r w:rsidRPr="009376F6">
              <w:rPr>
                <w:rFonts w:cs="Calibri"/>
                <w:iCs/>
                <w:sz w:val="24"/>
                <w:szCs w:val="24"/>
              </w:rPr>
              <w:t xml:space="preserve">No preliminary position </w:t>
            </w:r>
          </w:p>
          <w:p w14:paraId="2A38639B" w14:textId="16A5B5B1" w:rsidR="003921F7" w:rsidRPr="009376F6" w:rsidRDefault="003921F7" w:rsidP="009376F6">
            <w:pPr>
              <w:jc w:val="both"/>
              <w:rPr>
                <w:rFonts w:cs="Calibri"/>
                <w:b/>
                <w:bCs/>
                <w:i/>
                <w:sz w:val="24"/>
                <w:szCs w:val="24"/>
              </w:rPr>
            </w:pPr>
            <w:r w:rsidRPr="009376F6">
              <w:rPr>
                <w:rFonts w:cs="Calibri"/>
                <w:b/>
                <w:bCs/>
                <w:i/>
                <w:sz w:val="24"/>
                <w:szCs w:val="24"/>
              </w:rPr>
              <w:t>RCC (as of December 2020)</w:t>
            </w:r>
          </w:p>
          <w:p w14:paraId="5051F352" w14:textId="77777777" w:rsidR="003921F7" w:rsidRPr="009376F6" w:rsidRDefault="003921F7" w:rsidP="002C11EA">
            <w:pPr>
              <w:jc w:val="both"/>
              <w:rPr>
                <w:rFonts w:cs="Calibri"/>
                <w:iCs/>
                <w:sz w:val="24"/>
                <w:szCs w:val="24"/>
              </w:rPr>
            </w:pPr>
            <w:r w:rsidRPr="009376F6">
              <w:rPr>
                <w:rFonts w:cs="Calibri"/>
                <w:iCs/>
                <w:sz w:val="24"/>
                <w:szCs w:val="24"/>
              </w:rPr>
              <w:t>The RCC Administrations support conducting compatibility studies to determine technical conditions and regulatory provisions ensuring EESS (passive) sensors’ protection in the frequency band 36-37 GHz from interference of non-GSO FSS space stations operating in the frequency band 37.5-38 GHz.</w:t>
            </w:r>
          </w:p>
          <w:p w14:paraId="72F06B99" w14:textId="77777777" w:rsidR="003921F7" w:rsidRPr="00785308" w:rsidRDefault="003921F7" w:rsidP="002C11EA">
            <w:pPr>
              <w:spacing w:after="0"/>
              <w:textAlignment w:val="baseline"/>
              <w:rPr>
                <w:rFonts w:cs="Calibri"/>
                <w:b/>
                <w:bCs/>
                <w:i/>
                <w:sz w:val="24"/>
                <w:szCs w:val="24"/>
              </w:rPr>
            </w:pPr>
            <w:r w:rsidRPr="00785308">
              <w:rPr>
                <w:rFonts w:cs="Calibri"/>
                <w:b/>
                <w:bCs/>
                <w:i/>
                <w:sz w:val="24"/>
                <w:szCs w:val="24"/>
              </w:rPr>
              <w:t>ICAO</w:t>
            </w:r>
          </w:p>
          <w:p w14:paraId="0C5CD27B" w14:textId="77777777" w:rsidR="003921F7" w:rsidRPr="00785308" w:rsidRDefault="003921F7" w:rsidP="002C11EA">
            <w:pPr>
              <w:rPr>
                <w:rFonts w:cs="Calibri"/>
                <w:i/>
                <w:sz w:val="24"/>
                <w:szCs w:val="24"/>
              </w:rPr>
            </w:pPr>
            <w:r w:rsidRPr="003E59FC">
              <w:rPr>
                <w:rFonts w:cs="Calibri"/>
                <w:i/>
                <w:sz w:val="24"/>
                <w:szCs w:val="24"/>
              </w:rPr>
              <w:lastRenderedPageBreak/>
              <w:t xml:space="preserve">No preliminary position </w:t>
            </w:r>
          </w:p>
          <w:p w14:paraId="600382F0" w14:textId="77777777" w:rsidR="003921F7" w:rsidRPr="00785308" w:rsidRDefault="003921F7" w:rsidP="002C11EA">
            <w:pPr>
              <w:spacing w:after="0"/>
              <w:textAlignment w:val="baseline"/>
              <w:rPr>
                <w:rFonts w:cs="Calibri"/>
                <w:b/>
                <w:bCs/>
                <w:i/>
                <w:sz w:val="24"/>
                <w:szCs w:val="24"/>
              </w:rPr>
            </w:pPr>
            <w:r w:rsidRPr="00785308">
              <w:rPr>
                <w:rFonts w:cs="Calibri"/>
                <w:b/>
                <w:bCs/>
                <w:i/>
                <w:sz w:val="24"/>
                <w:szCs w:val="24"/>
              </w:rPr>
              <w:t>IMO</w:t>
            </w:r>
          </w:p>
          <w:p w14:paraId="01C30B41" w14:textId="77777777" w:rsidR="003921F7" w:rsidRPr="00785308" w:rsidRDefault="003921F7" w:rsidP="002C11EA">
            <w:pPr>
              <w:rPr>
                <w:rFonts w:cs="Calibri"/>
                <w:i/>
                <w:sz w:val="24"/>
                <w:szCs w:val="24"/>
              </w:rPr>
            </w:pPr>
            <w:r w:rsidRPr="00785308">
              <w:rPr>
                <w:rFonts w:cs="Calibri"/>
                <w:i/>
                <w:sz w:val="24"/>
                <w:szCs w:val="24"/>
              </w:rPr>
              <w:t xml:space="preserve">No preliminary position </w:t>
            </w:r>
          </w:p>
          <w:p w14:paraId="32937CD4" w14:textId="77777777" w:rsidR="003921F7" w:rsidRPr="00785308" w:rsidRDefault="003921F7" w:rsidP="002C11EA">
            <w:pPr>
              <w:spacing w:after="0"/>
              <w:textAlignment w:val="baseline"/>
              <w:rPr>
                <w:rFonts w:cs="Calibri"/>
                <w:b/>
                <w:bCs/>
                <w:i/>
                <w:sz w:val="24"/>
                <w:szCs w:val="24"/>
              </w:rPr>
            </w:pPr>
            <w:r w:rsidRPr="00785308">
              <w:rPr>
                <w:rFonts w:cs="Calibri"/>
                <w:b/>
                <w:bCs/>
                <w:i/>
                <w:sz w:val="24"/>
                <w:szCs w:val="24"/>
              </w:rPr>
              <w:t>WMO (as of February 2021)</w:t>
            </w:r>
          </w:p>
          <w:p w14:paraId="5F289E0B" w14:textId="77777777" w:rsidR="003921F7" w:rsidRPr="00785308" w:rsidRDefault="003921F7" w:rsidP="002C11EA">
            <w:pPr>
              <w:jc w:val="both"/>
              <w:rPr>
                <w:rFonts w:cs="Calibri"/>
                <w:i/>
                <w:sz w:val="24"/>
                <w:szCs w:val="24"/>
              </w:rPr>
            </w:pPr>
            <w:r w:rsidRPr="00785308">
              <w:rPr>
                <w:rFonts w:cs="Calibri"/>
                <w:i/>
                <w:sz w:val="24"/>
                <w:szCs w:val="24"/>
              </w:rPr>
              <w:t>WMO supports studies to further evaluate the impact of non-GSO FSS operations in the band 37.5-38 GHz on EESS (passive) sensors in the band 36-37 GHz, in particular the interference impact on the cold-sky calibration of passive sensors.</w:t>
            </w:r>
          </w:p>
        </w:tc>
      </w:tr>
    </w:tbl>
    <w:p w14:paraId="2DB51ED1" w14:textId="77777777" w:rsidR="003921F7" w:rsidRPr="00494E85" w:rsidRDefault="003921F7" w:rsidP="003921F7">
      <w:pPr>
        <w:rPr>
          <w:rFonts w:cs="Calibri"/>
        </w:rPr>
      </w:pPr>
    </w:p>
    <w:p w14:paraId="57B1DA49" w14:textId="77777777" w:rsidR="00FB3859" w:rsidRPr="00734046" w:rsidRDefault="00FB3859" w:rsidP="003921F7">
      <w:pPr>
        <w:jc w:val="center"/>
        <w:rPr>
          <w:rFonts w:ascii="Bookman Old Style" w:hAnsi="Bookman Old Style" w:cs="Calibri"/>
          <w:sz w:val="24"/>
          <w:szCs w:val="24"/>
        </w:rPr>
      </w:pPr>
    </w:p>
    <w:sectPr w:rsidR="00FB3859" w:rsidRPr="00734046" w:rsidSect="00810933">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4E"/>
    <w:multiLevelType w:val="hybridMultilevel"/>
    <w:tmpl w:val="5C3826A0"/>
    <w:lvl w:ilvl="0" w:tplc="84AE72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6EC297D"/>
    <w:multiLevelType w:val="hybridMultilevel"/>
    <w:tmpl w:val="C60AF342"/>
    <w:lvl w:ilvl="0" w:tplc="CED079DE">
      <w:start w:val="1"/>
      <w:numFmt w:val="lowerRoman"/>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3353E"/>
    <w:multiLevelType w:val="hybridMultilevel"/>
    <w:tmpl w:val="75A85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1931E4"/>
    <w:multiLevelType w:val="hybridMultilevel"/>
    <w:tmpl w:val="7FE01288"/>
    <w:lvl w:ilvl="0" w:tplc="910E5208">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5C61B6"/>
    <w:multiLevelType w:val="hybridMultilevel"/>
    <w:tmpl w:val="F5660610"/>
    <w:lvl w:ilvl="0" w:tplc="6F78D3E8">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50289"/>
    <w:multiLevelType w:val="hybridMultilevel"/>
    <w:tmpl w:val="517EDF1C"/>
    <w:lvl w:ilvl="0" w:tplc="ED0CA4A4">
      <w:start w:val="1"/>
      <w:numFmt w:val="lowerLetter"/>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03234"/>
    <w:multiLevelType w:val="hybridMultilevel"/>
    <w:tmpl w:val="63DC4B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2B2ADA"/>
    <w:multiLevelType w:val="hybridMultilevel"/>
    <w:tmpl w:val="B3BEF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B9508F1"/>
    <w:multiLevelType w:val="hybridMultilevel"/>
    <w:tmpl w:val="5F76A822"/>
    <w:lvl w:ilvl="0" w:tplc="FD487D04">
      <w:start w:val="6"/>
      <w:numFmt w:val="bullet"/>
      <w:lvlText w:val="-"/>
      <w:lvlJc w:val="left"/>
      <w:pPr>
        <w:ind w:left="664" w:hanging="360"/>
      </w:pPr>
      <w:rPr>
        <w:rFonts w:ascii="Calibri" w:eastAsia="Calibr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9" w15:restartNumberingAfterBreak="0">
    <w:nsid w:val="3D094B3A"/>
    <w:multiLevelType w:val="hybridMultilevel"/>
    <w:tmpl w:val="CC4ADE5A"/>
    <w:lvl w:ilvl="0" w:tplc="142C1886">
      <w:start w:val="6"/>
      <w:numFmt w:val="bullet"/>
      <w:lvlText w:val="-"/>
      <w:lvlJc w:val="left"/>
      <w:pPr>
        <w:ind w:left="664" w:hanging="360"/>
      </w:pPr>
      <w:rPr>
        <w:rFonts w:ascii="Calibri" w:eastAsia="Calibr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0" w15:restartNumberingAfterBreak="0">
    <w:nsid w:val="457903D9"/>
    <w:multiLevelType w:val="hybridMultilevel"/>
    <w:tmpl w:val="14648F26"/>
    <w:lvl w:ilvl="0" w:tplc="472CB618">
      <w:start w:val="1"/>
      <w:numFmt w:val="lowerRoman"/>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A255A"/>
    <w:multiLevelType w:val="hybridMultilevel"/>
    <w:tmpl w:val="97807BDA"/>
    <w:lvl w:ilvl="0" w:tplc="FE8CCDC8">
      <w:start w:val="1"/>
      <w:numFmt w:val="decimal"/>
      <w:lvlText w:val="(%1)"/>
      <w:lvlJc w:val="left"/>
      <w:pPr>
        <w:ind w:left="1080" w:hanging="720"/>
      </w:pPr>
      <w:rPr>
        <w:rFonts w:ascii="Calibri" w:eastAsia="Calibri" w:hAnsi="Calibri"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B7639A8"/>
    <w:multiLevelType w:val="hybridMultilevel"/>
    <w:tmpl w:val="49BAD0B6"/>
    <w:lvl w:ilvl="0" w:tplc="0809000F">
      <w:start w:val="1"/>
      <w:numFmt w:val="decimal"/>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CD204A"/>
    <w:multiLevelType w:val="hybridMultilevel"/>
    <w:tmpl w:val="3B721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E04778"/>
    <w:multiLevelType w:val="hybridMultilevel"/>
    <w:tmpl w:val="3E64E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89C1499"/>
    <w:multiLevelType w:val="hybridMultilevel"/>
    <w:tmpl w:val="C79C48DA"/>
    <w:lvl w:ilvl="0" w:tplc="84AE72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653B64B3"/>
    <w:multiLevelType w:val="hybridMultilevel"/>
    <w:tmpl w:val="1CA4437E"/>
    <w:lvl w:ilvl="0" w:tplc="A01E3BEE">
      <w:start w:val="1"/>
      <w:numFmt w:val="lowerLetter"/>
      <w:lvlText w:val="%1)"/>
      <w:lvlJc w:val="left"/>
      <w:pPr>
        <w:ind w:left="720" w:hanging="360"/>
      </w:pPr>
      <w:rPr>
        <w:rFonts w:hint="default"/>
        <w:b/>
        <w:bCs/>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38366A"/>
    <w:multiLevelType w:val="hybridMultilevel"/>
    <w:tmpl w:val="6B5E94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D7233E"/>
    <w:multiLevelType w:val="hybridMultilevel"/>
    <w:tmpl w:val="39A25666"/>
    <w:lvl w:ilvl="0" w:tplc="43269CEA">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BD7D0A"/>
    <w:multiLevelType w:val="hybridMultilevel"/>
    <w:tmpl w:val="F8FC8D0A"/>
    <w:lvl w:ilvl="0" w:tplc="43269CEA">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A563F"/>
    <w:multiLevelType w:val="hybridMultilevel"/>
    <w:tmpl w:val="EDF0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19"/>
  </w:num>
  <w:num w:numId="5">
    <w:abstractNumId w:val="3"/>
  </w:num>
  <w:num w:numId="6">
    <w:abstractNumId w:val="18"/>
  </w:num>
  <w:num w:numId="7">
    <w:abstractNumId w:val="16"/>
  </w:num>
  <w:num w:numId="8">
    <w:abstractNumId w:val="9"/>
  </w:num>
  <w:num w:numId="9">
    <w:abstractNumId w:val="8"/>
  </w:num>
  <w:num w:numId="10">
    <w:abstractNumId w:val="12"/>
  </w:num>
  <w:num w:numId="11">
    <w:abstractNumId w:val="14"/>
  </w:num>
  <w:num w:numId="12">
    <w:abstractNumId w:val="15"/>
  </w:num>
  <w:num w:numId="13">
    <w:abstractNumId w:val="2"/>
  </w:num>
  <w:num w:numId="14">
    <w:abstractNumId w:val="0"/>
  </w:num>
  <w:num w:numId="15">
    <w:abstractNumId w:val="13"/>
  </w:num>
  <w:num w:numId="16">
    <w:abstractNumId w:val="4"/>
  </w:num>
  <w:num w:numId="17">
    <w:abstractNumId w:val="17"/>
  </w:num>
  <w:num w:numId="18">
    <w:abstractNumId w:val="7"/>
  </w:num>
  <w:num w:numId="19">
    <w:abstractNumId w:val="6"/>
  </w:num>
  <w:num w:numId="20">
    <w:abstractNumId w:val="2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BE"/>
    <w:rsid w:val="0003323C"/>
    <w:rsid w:val="00037BBF"/>
    <w:rsid w:val="00056762"/>
    <w:rsid w:val="000A3DA9"/>
    <w:rsid w:val="000B5F88"/>
    <w:rsid w:val="000C6ABF"/>
    <w:rsid w:val="0010461E"/>
    <w:rsid w:val="0010789C"/>
    <w:rsid w:val="00110A85"/>
    <w:rsid w:val="00113D4A"/>
    <w:rsid w:val="00125287"/>
    <w:rsid w:val="00125AE6"/>
    <w:rsid w:val="0018768B"/>
    <w:rsid w:val="0019044F"/>
    <w:rsid w:val="001E3BEA"/>
    <w:rsid w:val="002052AB"/>
    <w:rsid w:val="00206B75"/>
    <w:rsid w:val="002073D5"/>
    <w:rsid w:val="002121BA"/>
    <w:rsid w:val="0022320A"/>
    <w:rsid w:val="00233904"/>
    <w:rsid w:val="002507A2"/>
    <w:rsid w:val="002521C8"/>
    <w:rsid w:val="00273304"/>
    <w:rsid w:val="002B35F3"/>
    <w:rsid w:val="002B6A1F"/>
    <w:rsid w:val="002B79E8"/>
    <w:rsid w:val="002C3E5B"/>
    <w:rsid w:val="002E4C65"/>
    <w:rsid w:val="002F2C69"/>
    <w:rsid w:val="00305D76"/>
    <w:rsid w:val="003073C9"/>
    <w:rsid w:val="00311FD7"/>
    <w:rsid w:val="00321AC9"/>
    <w:rsid w:val="00332112"/>
    <w:rsid w:val="0033701C"/>
    <w:rsid w:val="00340750"/>
    <w:rsid w:val="00351868"/>
    <w:rsid w:val="00351B8F"/>
    <w:rsid w:val="00376A8F"/>
    <w:rsid w:val="003921F7"/>
    <w:rsid w:val="003D6091"/>
    <w:rsid w:val="003D7292"/>
    <w:rsid w:val="003E6606"/>
    <w:rsid w:val="003F3853"/>
    <w:rsid w:val="003F3BA9"/>
    <w:rsid w:val="00400D6A"/>
    <w:rsid w:val="004066C5"/>
    <w:rsid w:val="00410611"/>
    <w:rsid w:val="00420F3F"/>
    <w:rsid w:val="00451218"/>
    <w:rsid w:val="00457C6F"/>
    <w:rsid w:val="00470C28"/>
    <w:rsid w:val="00491157"/>
    <w:rsid w:val="004A2459"/>
    <w:rsid w:val="004E0CB2"/>
    <w:rsid w:val="004E3111"/>
    <w:rsid w:val="004E4D5F"/>
    <w:rsid w:val="00500D13"/>
    <w:rsid w:val="00507E48"/>
    <w:rsid w:val="005107B9"/>
    <w:rsid w:val="005311A1"/>
    <w:rsid w:val="00562CEC"/>
    <w:rsid w:val="0057634F"/>
    <w:rsid w:val="00577467"/>
    <w:rsid w:val="005A1DB5"/>
    <w:rsid w:val="005B1CE6"/>
    <w:rsid w:val="005B3E95"/>
    <w:rsid w:val="005D121E"/>
    <w:rsid w:val="005D2254"/>
    <w:rsid w:val="005E0F7F"/>
    <w:rsid w:val="005E2ED6"/>
    <w:rsid w:val="005E3789"/>
    <w:rsid w:val="005E7B07"/>
    <w:rsid w:val="00611768"/>
    <w:rsid w:val="006144B5"/>
    <w:rsid w:val="0066007A"/>
    <w:rsid w:val="00663DC4"/>
    <w:rsid w:val="006D26B2"/>
    <w:rsid w:val="006D68F5"/>
    <w:rsid w:val="006E3113"/>
    <w:rsid w:val="006F3678"/>
    <w:rsid w:val="0072480A"/>
    <w:rsid w:val="00734046"/>
    <w:rsid w:val="00744D33"/>
    <w:rsid w:val="0074517C"/>
    <w:rsid w:val="00752996"/>
    <w:rsid w:val="00753608"/>
    <w:rsid w:val="00760DDB"/>
    <w:rsid w:val="007616F1"/>
    <w:rsid w:val="00766E55"/>
    <w:rsid w:val="00781916"/>
    <w:rsid w:val="00796030"/>
    <w:rsid w:val="007A0046"/>
    <w:rsid w:val="007B15FB"/>
    <w:rsid w:val="007B2853"/>
    <w:rsid w:val="007B2A92"/>
    <w:rsid w:val="007C50A0"/>
    <w:rsid w:val="007D0459"/>
    <w:rsid w:val="007F2A49"/>
    <w:rsid w:val="008107C8"/>
    <w:rsid w:val="00810933"/>
    <w:rsid w:val="008709D7"/>
    <w:rsid w:val="008902C2"/>
    <w:rsid w:val="008C0FF8"/>
    <w:rsid w:val="008C3B61"/>
    <w:rsid w:val="008C5080"/>
    <w:rsid w:val="008E0907"/>
    <w:rsid w:val="008E107D"/>
    <w:rsid w:val="009075DE"/>
    <w:rsid w:val="0091553F"/>
    <w:rsid w:val="0092533E"/>
    <w:rsid w:val="00937000"/>
    <w:rsid w:val="009376F6"/>
    <w:rsid w:val="00943251"/>
    <w:rsid w:val="00947B87"/>
    <w:rsid w:val="00951B3D"/>
    <w:rsid w:val="009550C1"/>
    <w:rsid w:val="00962633"/>
    <w:rsid w:val="00966933"/>
    <w:rsid w:val="00967501"/>
    <w:rsid w:val="009755BE"/>
    <w:rsid w:val="00983DA8"/>
    <w:rsid w:val="009B6850"/>
    <w:rsid w:val="009D0FA6"/>
    <w:rsid w:val="009F7C28"/>
    <w:rsid w:val="00A30B14"/>
    <w:rsid w:val="00A315DF"/>
    <w:rsid w:val="00A54F0A"/>
    <w:rsid w:val="00A6079C"/>
    <w:rsid w:val="00A67C3B"/>
    <w:rsid w:val="00A67FF9"/>
    <w:rsid w:val="00A71AB0"/>
    <w:rsid w:val="00A81040"/>
    <w:rsid w:val="00A83834"/>
    <w:rsid w:val="00A9095B"/>
    <w:rsid w:val="00AD0BD8"/>
    <w:rsid w:val="00AD411D"/>
    <w:rsid w:val="00AF1735"/>
    <w:rsid w:val="00AF68E7"/>
    <w:rsid w:val="00AF7F92"/>
    <w:rsid w:val="00B2349F"/>
    <w:rsid w:val="00B332A0"/>
    <w:rsid w:val="00B50BB4"/>
    <w:rsid w:val="00B76259"/>
    <w:rsid w:val="00B824A6"/>
    <w:rsid w:val="00B91E7D"/>
    <w:rsid w:val="00BA3C72"/>
    <w:rsid w:val="00BA7DF9"/>
    <w:rsid w:val="00C0173E"/>
    <w:rsid w:val="00C15421"/>
    <w:rsid w:val="00C55310"/>
    <w:rsid w:val="00C6656A"/>
    <w:rsid w:val="00C763D5"/>
    <w:rsid w:val="00C87103"/>
    <w:rsid w:val="00C92B6C"/>
    <w:rsid w:val="00CB6A24"/>
    <w:rsid w:val="00CC260A"/>
    <w:rsid w:val="00CD4A1A"/>
    <w:rsid w:val="00CD535A"/>
    <w:rsid w:val="00CD5A15"/>
    <w:rsid w:val="00D3299D"/>
    <w:rsid w:val="00D341F4"/>
    <w:rsid w:val="00D35CA4"/>
    <w:rsid w:val="00D74D0D"/>
    <w:rsid w:val="00D8284A"/>
    <w:rsid w:val="00DA75F0"/>
    <w:rsid w:val="00DB0AD2"/>
    <w:rsid w:val="00DD1B06"/>
    <w:rsid w:val="00DE05D5"/>
    <w:rsid w:val="00DE2965"/>
    <w:rsid w:val="00E152D3"/>
    <w:rsid w:val="00E17753"/>
    <w:rsid w:val="00E3015D"/>
    <w:rsid w:val="00E333B2"/>
    <w:rsid w:val="00E37983"/>
    <w:rsid w:val="00E43ED3"/>
    <w:rsid w:val="00E550B5"/>
    <w:rsid w:val="00E6054A"/>
    <w:rsid w:val="00EA35B2"/>
    <w:rsid w:val="00EC3AE7"/>
    <w:rsid w:val="00ED40C4"/>
    <w:rsid w:val="00F06C29"/>
    <w:rsid w:val="00F27F7B"/>
    <w:rsid w:val="00F4638F"/>
    <w:rsid w:val="00F56E3D"/>
    <w:rsid w:val="00F576AE"/>
    <w:rsid w:val="00F63B6E"/>
    <w:rsid w:val="00F86E16"/>
    <w:rsid w:val="00F86FE0"/>
    <w:rsid w:val="00F9250C"/>
    <w:rsid w:val="00FA6FDB"/>
    <w:rsid w:val="00FB3859"/>
    <w:rsid w:val="00FC20C7"/>
    <w:rsid w:val="00FD69AE"/>
    <w:rsid w:val="00FE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DF0D"/>
  <w15:chartTrackingRefBased/>
  <w15:docId w15:val="{0819F342-8A2B-4D79-B7F6-92A0DA6A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A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87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55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50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8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55BE"/>
    <w:rPr>
      <w:rFonts w:ascii="Cambria" w:eastAsia="Times New Roman" w:hAnsi="Cambria" w:cs="Times New Roman"/>
      <w:b/>
      <w:bCs/>
      <w:i/>
      <w:iCs/>
      <w:sz w:val="28"/>
      <w:szCs w:val="28"/>
    </w:rPr>
  </w:style>
  <w:style w:type="paragraph" w:styleId="NoSpacing">
    <w:name w:val="No Spacing"/>
    <w:link w:val="NoSpacingChar"/>
    <w:uiPriority w:val="1"/>
    <w:qFormat/>
    <w:rsid w:val="009755BE"/>
    <w:pPr>
      <w:spacing w:after="0" w:line="240" w:lineRule="auto"/>
    </w:pPr>
    <w:rPr>
      <w:rFonts w:ascii="Calibri" w:eastAsia="Calibri" w:hAnsi="Calibri" w:cs="Times New Roman"/>
    </w:rPr>
  </w:style>
  <w:style w:type="character" w:styleId="Hyperlink">
    <w:name w:val="Hyperlink"/>
    <w:uiPriority w:val="99"/>
    <w:unhideWhenUsed/>
    <w:rsid w:val="009755BE"/>
    <w:rPr>
      <w:color w:val="0000FF"/>
      <w:u w:val="single"/>
    </w:rPr>
  </w:style>
  <w:style w:type="paragraph" w:styleId="ListParagraph">
    <w:name w:val="List Paragraph"/>
    <w:basedOn w:val="Normal"/>
    <w:link w:val="ListParagraphChar"/>
    <w:uiPriority w:val="34"/>
    <w:qFormat/>
    <w:rsid w:val="005E7B07"/>
    <w:pPr>
      <w:ind w:left="720"/>
      <w:contextualSpacing/>
    </w:pPr>
  </w:style>
  <w:style w:type="paragraph" w:customStyle="1" w:styleId="Default">
    <w:name w:val="Default"/>
    <w:rsid w:val="005E7B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semiHidden/>
    <w:unhideWhenUsed/>
    <w:rsid w:val="005E7B07"/>
    <w:pPr>
      <w:spacing w:after="120" w:line="240" w:lineRule="auto"/>
      <w:ind w:left="283"/>
    </w:pPr>
    <w:rPr>
      <w:rFonts w:ascii="Times New Roman" w:eastAsia="MS Mincho" w:hAnsi="Times New Roman"/>
      <w:sz w:val="20"/>
      <w:szCs w:val="20"/>
      <w:lang w:eastAsia="en-GB"/>
    </w:rPr>
  </w:style>
  <w:style w:type="character" w:customStyle="1" w:styleId="BodyTextIndentChar">
    <w:name w:val="Body Text Indent Char"/>
    <w:basedOn w:val="DefaultParagraphFont"/>
    <w:link w:val="BodyTextIndent"/>
    <w:semiHidden/>
    <w:rsid w:val="005E7B07"/>
    <w:rPr>
      <w:rFonts w:ascii="Times New Roman" w:eastAsia="MS Mincho" w:hAnsi="Times New Roman" w:cs="Times New Roman"/>
      <w:sz w:val="20"/>
      <w:szCs w:val="20"/>
      <w:lang w:eastAsia="en-GB"/>
    </w:rPr>
  </w:style>
  <w:style w:type="character" w:customStyle="1" w:styleId="NoSpacingChar">
    <w:name w:val="No Spacing Char"/>
    <w:link w:val="NoSpacing"/>
    <w:uiPriority w:val="1"/>
    <w:locked/>
    <w:rsid w:val="005E7B07"/>
    <w:rPr>
      <w:rFonts w:ascii="Calibri" w:eastAsia="Calibri" w:hAnsi="Calibri" w:cs="Times New Roman"/>
    </w:rPr>
  </w:style>
  <w:style w:type="character" w:styleId="Emphasis">
    <w:name w:val="Emphasis"/>
    <w:aliases w:val="ECC HL italics"/>
    <w:uiPriority w:val="1"/>
    <w:qFormat/>
    <w:rsid w:val="008C3B61"/>
    <w:rPr>
      <w:i/>
      <w:iCs/>
    </w:rPr>
  </w:style>
  <w:style w:type="character" w:customStyle="1" w:styleId="ListParagraphChar">
    <w:name w:val="List Paragraph Char"/>
    <w:link w:val="ListParagraph"/>
    <w:uiPriority w:val="34"/>
    <w:locked/>
    <w:rsid w:val="008C3B61"/>
    <w:rPr>
      <w:rFonts w:ascii="Calibri" w:eastAsia="Calibri" w:hAnsi="Calibri" w:cs="Times New Roman"/>
    </w:rPr>
  </w:style>
  <w:style w:type="paragraph" w:customStyle="1" w:styleId="enumlev1">
    <w:name w:val="enumlev1"/>
    <w:basedOn w:val="Normal"/>
    <w:link w:val="enumlev1Char"/>
    <w:qFormat/>
    <w:rsid w:val="000A3DA9"/>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sz w:val="24"/>
      <w:szCs w:val="20"/>
      <w:lang w:val="en-GB"/>
    </w:rPr>
  </w:style>
  <w:style w:type="character" w:customStyle="1" w:styleId="enumlev1Char">
    <w:name w:val="enumlev1 Char"/>
    <w:link w:val="enumlev1"/>
    <w:qFormat/>
    <w:locked/>
    <w:rsid w:val="000A3DA9"/>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uiPriority w:val="9"/>
    <w:semiHidden/>
    <w:rsid w:val="003F3853"/>
    <w:rPr>
      <w:rFonts w:asciiTheme="majorHAnsi" w:eastAsiaTheme="majorEastAsia" w:hAnsiTheme="majorHAnsi" w:cstheme="majorBidi"/>
      <w:i/>
      <w:iCs/>
      <w:color w:val="2E74B5" w:themeColor="accent1" w:themeShade="BF"/>
    </w:rPr>
  </w:style>
  <w:style w:type="character" w:styleId="BookTitle">
    <w:name w:val="Book Title"/>
    <w:basedOn w:val="DefaultParagraphFont"/>
    <w:uiPriority w:val="33"/>
    <w:qFormat/>
    <w:rsid w:val="003F3853"/>
    <w:rPr>
      <w:b/>
      <w:bCs/>
      <w:i/>
      <w:iCs/>
      <w:spacing w:val="5"/>
    </w:rPr>
  </w:style>
  <w:style w:type="character" w:customStyle="1" w:styleId="Heading1Char">
    <w:name w:val="Heading 1 Char"/>
    <w:basedOn w:val="DefaultParagraphFont"/>
    <w:link w:val="Heading1"/>
    <w:rsid w:val="00C87103"/>
    <w:rPr>
      <w:rFonts w:asciiTheme="majorHAnsi" w:eastAsiaTheme="majorEastAsia" w:hAnsiTheme="majorHAnsi" w:cstheme="majorBidi"/>
      <w:color w:val="2E74B5" w:themeColor="accent1" w:themeShade="BF"/>
      <w:sz w:val="32"/>
      <w:szCs w:val="32"/>
    </w:rPr>
  </w:style>
  <w:style w:type="character" w:customStyle="1" w:styleId="Artdef">
    <w:name w:val="Art_def"/>
    <w:basedOn w:val="DefaultParagraphFont"/>
    <w:uiPriority w:val="99"/>
    <w:rsid w:val="008107C8"/>
    <w:rPr>
      <w:rFonts w:ascii="Times New Roman" w:hAnsi="Times New Roman"/>
      <w:b/>
    </w:rPr>
  </w:style>
  <w:style w:type="paragraph" w:customStyle="1" w:styleId="Proposal">
    <w:name w:val="Proposal"/>
    <w:basedOn w:val="Normal"/>
    <w:next w:val="Normal"/>
    <w:rsid w:val="008107C8"/>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b/>
      <w:sz w:val="24"/>
      <w:szCs w:val="20"/>
      <w:lang w:val="en-GB"/>
    </w:rPr>
  </w:style>
  <w:style w:type="paragraph" w:customStyle="1" w:styleId="enumlev2">
    <w:name w:val="enumlev2"/>
    <w:basedOn w:val="enumlev1"/>
    <w:rsid w:val="00B50BB4"/>
    <w:pPr>
      <w:ind w:left="1871" w:hanging="737"/>
    </w:pPr>
  </w:style>
  <w:style w:type="paragraph" w:customStyle="1" w:styleId="headingb">
    <w:name w:val="heading_b"/>
    <w:basedOn w:val="Heading3"/>
    <w:next w:val="Normal"/>
    <w:link w:val="headingbZchn"/>
    <w:uiPriority w:val="99"/>
    <w:rsid w:val="00B50BB4"/>
    <w:pPr>
      <w:tabs>
        <w:tab w:val="left" w:pos="794"/>
        <w:tab w:val="left" w:pos="2127"/>
        <w:tab w:val="left" w:pos="2410"/>
        <w:tab w:val="left" w:pos="2921"/>
        <w:tab w:val="left" w:pos="3261"/>
      </w:tabs>
      <w:spacing w:before="160" w:line="240" w:lineRule="auto"/>
      <w:outlineLvl w:val="9"/>
    </w:pPr>
    <w:rPr>
      <w:rFonts w:ascii="Times New Roman" w:eastAsia="Times New Roman" w:hAnsi="Times New Roman" w:cs="Times New Roman"/>
      <w:b/>
      <w:szCs w:val="20"/>
      <w:lang w:val="en-GB" w:eastAsia="fr-FR"/>
    </w:rPr>
  </w:style>
  <w:style w:type="character" w:customStyle="1" w:styleId="headingbZchn">
    <w:name w:val="heading_b Zchn"/>
    <w:basedOn w:val="Heading3Char"/>
    <w:link w:val="headingb"/>
    <w:uiPriority w:val="99"/>
    <w:rsid w:val="00B50BB4"/>
    <w:rPr>
      <w:rFonts w:ascii="Times New Roman" w:eastAsia="Times New Roman" w:hAnsi="Times New Roman" w:cs="Times New Roman"/>
      <w:b/>
      <w:color w:val="1F4D78" w:themeColor="accent1" w:themeShade="7F"/>
      <w:sz w:val="24"/>
      <w:szCs w:val="20"/>
      <w:lang w:val="en-GB" w:eastAsia="fr-FR"/>
    </w:rPr>
  </w:style>
  <w:style w:type="character" w:customStyle="1" w:styleId="Heading3Char">
    <w:name w:val="Heading 3 Char"/>
    <w:basedOn w:val="DefaultParagraphFont"/>
    <w:link w:val="Heading3"/>
    <w:uiPriority w:val="9"/>
    <w:semiHidden/>
    <w:rsid w:val="00B50BB4"/>
    <w:rPr>
      <w:rFonts w:asciiTheme="majorHAnsi" w:eastAsiaTheme="majorEastAsia" w:hAnsiTheme="majorHAnsi" w:cstheme="majorBidi"/>
      <w:color w:val="1F4D78" w:themeColor="accent1" w:themeShade="7F"/>
      <w:sz w:val="24"/>
      <w:szCs w:val="24"/>
    </w:rPr>
  </w:style>
  <w:style w:type="character" w:customStyle="1" w:styleId="Artref">
    <w:name w:val="Art_ref"/>
    <w:basedOn w:val="DefaultParagraphFont"/>
    <w:rsid w:val="00A83834"/>
  </w:style>
  <w:style w:type="paragraph" w:customStyle="1" w:styleId="Reasons">
    <w:name w:val="Reasons"/>
    <w:basedOn w:val="Normal"/>
    <w:qFormat/>
    <w:rsid w:val="007C50A0"/>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sz w:val="24"/>
      <w:szCs w:val="20"/>
      <w:lang w:val="en-GB"/>
    </w:rPr>
  </w:style>
  <w:style w:type="paragraph" w:customStyle="1" w:styleId="Methodheading2">
    <w:name w:val="Method_heading2"/>
    <w:basedOn w:val="Heading2"/>
    <w:next w:val="Normal"/>
    <w:qFormat/>
    <w:rsid w:val="0022320A"/>
    <w:pPr>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pPr>
    <w:rPr>
      <w:rFonts w:ascii="Times New Roman" w:hAnsi="Times New Roman"/>
      <w:bCs w:val="0"/>
      <w:i w:val="0"/>
      <w:iCs w:val="0"/>
      <w:sz w:val="24"/>
      <w:szCs w:val="20"/>
      <w:lang w:val="en-GB"/>
    </w:rPr>
  </w:style>
  <w:style w:type="paragraph" w:customStyle="1" w:styleId="Tablehead">
    <w:name w:val="Table_head"/>
    <w:basedOn w:val="Normal"/>
    <w:link w:val="TableheadChar"/>
    <w:rsid w:val="00125AE6"/>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paragraph" w:customStyle="1" w:styleId="Call">
    <w:name w:val="Call"/>
    <w:basedOn w:val="Normal"/>
    <w:next w:val="Normal"/>
    <w:link w:val="CallChar"/>
    <w:rsid w:val="00AF7F92"/>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i/>
      <w:sz w:val="24"/>
      <w:szCs w:val="20"/>
      <w:lang w:val="en-GB"/>
    </w:rPr>
  </w:style>
  <w:style w:type="paragraph" w:customStyle="1" w:styleId="TableTextS5">
    <w:name w:val="Table_TextS5"/>
    <w:basedOn w:val="Normal"/>
    <w:rsid w:val="00FA6FDB"/>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textAlignment w:val="baseline"/>
    </w:pPr>
    <w:rPr>
      <w:rFonts w:ascii="Times New Roman" w:eastAsia="Times New Roman" w:hAnsi="Times New Roman"/>
      <w:sz w:val="20"/>
      <w:szCs w:val="20"/>
      <w:lang w:val="en-GB"/>
    </w:rPr>
  </w:style>
  <w:style w:type="table" w:styleId="TableGrid">
    <w:name w:val="Table Grid"/>
    <w:basedOn w:val="TableNormal"/>
    <w:uiPriority w:val="59"/>
    <w:qFormat/>
    <w:rsid w:val="0081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046"/>
    <w:rPr>
      <w:sz w:val="16"/>
      <w:szCs w:val="16"/>
    </w:rPr>
  </w:style>
  <w:style w:type="paragraph" w:styleId="CommentText">
    <w:name w:val="annotation text"/>
    <w:basedOn w:val="Normal"/>
    <w:link w:val="CommentTextChar"/>
    <w:uiPriority w:val="99"/>
    <w:semiHidden/>
    <w:unhideWhenUsed/>
    <w:rsid w:val="00734046"/>
    <w:pPr>
      <w:spacing w:line="240" w:lineRule="auto"/>
    </w:pPr>
    <w:rPr>
      <w:sz w:val="20"/>
      <w:szCs w:val="20"/>
    </w:rPr>
  </w:style>
  <w:style w:type="character" w:customStyle="1" w:styleId="CommentTextChar">
    <w:name w:val="Comment Text Char"/>
    <w:basedOn w:val="DefaultParagraphFont"/>
    <w:link w:val="CommentText"/>
    <w:uiPriority w:val="99"/>
    <w:semiHidden/>
    <w:rsid w:val="007340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4046"/>
    <w:rPr>
      <w:b/>
      <w:bCs/>
    </w:rPr>
  </w:style>
  <w:style w:type="character" w:customStyle="1" w:styleId="CommentSubjectChar">
    <w:name w:val="Comment Subject Char"/>
    <w:basedOn w:val="CommentTextChar"/>
    <w:link w:val="CommentSubject"/>
    <w:uiPriority w:val="99"/>
    <w:semiHidden/>
    <w:rsid w:val="007340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3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46"/>
    <w:rPr>
      <w:rFonts w:ascii="Segoe UI" w:eastAsia="Calibri" w:hAnsi="Segoe UI" w:cs="Segoe UI"/>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qFormat/>
    <w:rsid w:val="009075DE"/>
    <w:pPr>
      <w:spacing w:after="0" w:line="240" w:lineRule="auto"/>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qFormat/>
    <w:rsid w:val="009075DE"/>
    <w:rPr>
      <w:rFonts w:ascii="Calibri" w:eastAsia="Calibri" w:hAnsi="Calibri" w:cs="Times New Roman"/>
      <w:sz w:val="20"/>
      <w:szCs w:val="20"/>
    </w:rPr>
  </w:style>
  <w:style w:type="character" w:styleId="FootnoteReference">
    <w:name w:val="footnote reference"/>
    <w:uiPriority w:val="99"/>
    <w:semiHidden/>
    <w:unhideWhenUsed/>
    <w:rsid w:val="009075DE"/>
    <w:rPr>
      <w:vertAlign w:val="superscript"/>
    </w:rPr>
  </w:style>
  <w:style w:type="paragraph" w:customStyle="1" w:styleId="Tabletext">
    <w:name w:val="Table_text"/>
    <w:basedOn w:val="Normal"/>
    <w:link w:val="TabletextChar"/>
    <w:qFormat/>
    <w:rsid w:val="009075D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sz w:val="20"/>
      <w:szCs w:val="20"/>
      <w:lang w:val="en-GB"/>
    </w:rPr>
  </w:style>
  <w:style w:type="character" w:customStyle="1" w:styleId="TabletextChar">
    <w:name w:val="Table_text Char"/>
    <w:link w:val="Tabletext"/>
    <w:qFormat/>
    <w:locked/>
    <w:rsid w:val="009075DE"/>
    <w:rPr>
      <w:rFonts w:ascii="Times New Roman" w:eastAsia="Times New Roman" w:hAnsi="Times New Roman" w:cs="Times New Roman"/>
      <w:sz w:val="20"/>
      <w:szCs w:val="20"/>
      <w:lang w:val="en-GB"/>
    </w:rPr>
  </w:style>
  <w:style w:type="paragraph" w:customStyle="1" w:styleId="Note">
    <w:name w:val="Note"/>
    <w:basedOn w:val="Normal"/>
    <w:link w:val="NoteChar"/>
    <w:uiPriority w:val="99"/>
    <w:rsid w:val="009075DE"/>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sz w:val="24"/>
      <w:szCs w:val="20"/>
      <w:lang w:val="en-GB"/>
    </w:rPr>
  </w:style>
  <w:style w:type="character" w:customStyle="1" w:styleId="NoteChar">
    <w:name w:val="Note Char"/>
    <w:link w:val="Note"/>
    <w:uiPriority w:val="99"/>
    <w:locked/>
    <w:rsid w:val="009075DE"/>
    <w:rPr>
      <w:rFonts w:ascii="Times New Roman" w:eastAsia="Times New Roman" w:hAnsi="Times New Roman" w:cs="Times New Roman"/>
      <w:sz w:val="24"/>
      <w:szCs w:val="20"/>
      <w:lang w:val="en-GB"/>
    </w:rPr>
  </w:style>
  <w:style w:type="paragraph" w:styleId="Header">
    <w:name w:val="header"/>
    <w:basedOn w:val="Normal"/>
    <w:link w:val="HeaderChar"/>
    <w:rsid w:val="009075DE"/>
    <w:pPr>
      <w:tabs>
        <w:tab w:val="center" w:pos="4153"/>
        <w:tab w:val="right" w:pos="8306"/>
      </w:tabs>
      <w:spacing w:after="0" w:line="240" w:lineRule="auto"/>
    </w:pPr>
    <w:rPr>
      <w:rFonts w:ascii="Times New Roman" w:eastAsia="MS Mincho" w:hAnsi="Times New Roman"/>
      <w:sz w:val="20"/>
      <w:szCs w:val="20"/>
      <w:lang w:eastAsia="en-GB"/>
    </w:rPr>
  </w:style>
  <w:style w:type="character" w:customStyle="1" w:styleId="HeaderChar">
    <w:name w:val="Header Char"/>
    <w:basedOn w:val="DefaultParagraphFont"/>
    <w:link w:val="Header"/>
    <w:rsid w:val="009075DE"/>
    <w:rPr>
      <w:rFonts w:ascii="Times New Roman" w:eastAsia="MS Mincho" w:hAnsi="Times New Roman" w:cs="Times New Roman"/>
      <w:sz w:val="20"/>
      <w:szCs w:val="20"/>
      <w:lang w:eastAsia="en-GB"/>
    </w:rPr>
  </w:style>
  <w:style w:type="paragraph" w:styleId="Footer">
    <w:name w:val="footer"/>
    <w:basedOn w:val="Normal"/>
    <w:link w:val="FooterChar"/>
    <w:uiPriority w:val="99"/>
    <w:unhideWhenUsed/>
    <w:rsid w:val="009075DE"/>
    <w:pPr>
      <w:tabs>
        <w:tab w:val="center" w:pos="4513"/>
        <w:tab w:val="right" w:pos="9026"/>
      </w:tabs>
    </w:pPr>
  </w:style>
  <w:style w:type="character" w:customStyle="1" w:styleId="FooterChar">
    <w:name w:val="Footer Char"/>
    <w:basedOn w:val="DefaultParagraphFont"/>
    <w:link w:val="Footer"/>
    <w:uiPriority w:val="99"/>
    <w:rsid w:val="009075DE"/>
    <w:rPr>
      <w:rFonts w:ascii="Calibri" w:eastAsia="Calibri" w:hAnsi="Calibri" w:cs="Times New Roman"/>
    </w:rPr>
  </w:style>
  <w:style w:type="character" w:styleId="FollowedHyperlink">
    <w:name w:val="FollowedHyperlink"/>
    <w:uiPriority w:val="99"/>
    <w:semiHidden/>
    <w:unhideWhenUsed/>
    <w:rsid w:val="009075DE"/>
    <w:rPr>
      <w:color w:val="954F72"/>
      <w:u w:val="single"/>
    </w:rPr>
  </w:style>
  <w:style w:type="character" w:customStyle="1" w:styleId="CallChar">
    <w:name w:val="Call Char"/>
    <w:link w:val="Call"/>
    <w:locked/>
    <w:rsid w:val="009075DE"/>
    <w:rPr>
      <w:rFonts w:ascii="Times New Roman" w:eastAsia="Times New Roman" w:hAnsi="Times New Roman" w:cs="Times New Roman"/>
      <w:i/>
      <w:sz w:val="24"/>
      <w:szCs w:val="20"/>
      <w:lang w:val="en-GB"/>
    </w:rPr>
  </w:style>
  <w:style w:type="paragraph" w:styleId="NormalWeb">
    <w:name w:val="Normal (Web)"/>
    <w:basedOn w:val="Normal"/>
    <w:uiPriority w:val="99"/>
    <w:unhideWhenUsed/>
    <w:rsid w:val="009075DE"/>
    <w:pPr>
      <w:spacing w:before="100" w:beforeAutospacing="1" w:after="100" w:afterAutospacing="1" w:line="240" w:lineRule="auto"/>
    </w:pPr>
    <w:rPr>
      <w:rFonts w:ascii="Times New Roman" w:eastAsia="Times New Roman" w:hAnsi="Times New Roman"/>
      <w:sz w:val="24"/>
      <w:szCs w:val="24"/>
    </w:rPr>
  </w:style>
  <w:style w:type="character" w:customStyle="1" w:styleId="Tablefreq">
    <w:name w:val="Table_freq"/>
    <w:rsid w:val="009075DE"/>
    <w:rPr>
      <w:b/>
      <w:color w:val="auto"/>
      <w:sz w:val="20"/>
    </w:rPr>
  </w:style>
  <w:style w:type="character" w:customStyle="1" w:styleId="TableheadChar">
    <w:name w:val="Table_head Char"/>
    <w:link w:val="Tablehead"/>
    <w:locked/>
    <w:rsid w:val="009075DE"/>
    <w:rPr>
      <w:rFonts w:ascii="Times New Roman Bold" w:eastAsia="Times New Roman" w:hAnsi="Times New Roman Bold" w:cs="Times New Roman Bold"/>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42236">
      <w:bodyDiv w:val="1"/>
      <w:marLeft w:val="0"/>
      <w:marRight w:val="0"/>
      <w:marTop w:val="0"/>
      <w:marBottom w:val="0"/>
      <w:divBdr>
        <w:top w:val="none" w:sz="0" w:space="0" w:color="auto"/>
        <w:left w:val="none" w:sz="0" w:space="0" w:color="auto"/>
        <w:bottom w:val="none" w:sz="0" w:space="0" w:color="auto"/>
        <w:right w:val="none" w:sz="0" w:space="0" w:color="auto"/>
      </w:divBdr>
      <w:divsChild>
        <w:div w:id="1170948416">
          <w:marLeft w:val="360"/>
          <w:marRight w:val="0"/>
          <w:marTop w:val="200"/>
          <w:marBottom w:val="0"/>
          <w:divBdr>
            <w:top w:val="none" w:sz="0" w:space="0" w:color="auto"/>
            <w:left w:val="none" w:sz="0" w:space="0" w:color="auto"/>
            <w:bottom w:val="none" w:sz="0" w:space="0" w:color="auto"/>
            <w:right w:val="none" w:sz="0" w:space="0" w:color="auto"/>
          </w:divBdr>
        </w:div>
        <w:div w:id="465782437">
          <w:marLeft w:val="360"/>
          <w:marRight w:val="0"/>
          <w:marTop w:val="200"/>
          <w:marBottom w:val="0"/>
          <w:divBdr>
            <w:top w:val="none" w:sz="0" w:space="0" w:color="auto"/>
            <w:left w:val="none" w:sz="0" w:space="0" w:color="auto"/>
            <w:bottom w:val="none" w:sz="0" w:space="0" w:color="auto"/>
            <w:right w:val="none" w:sz="0" w:space="0" w:color="auto"/>
          </w:divBdr>
        </w:div>
        <w:div w:id="1676179325">
          <w:marLeft w:val="360"/>
          <w:marRight w:val="0"/>
          <w:marTop w:val="200"/>
          <w:marBottom w:val="0"/>
          <w:divBdr>
            <w:top w:val="none" w:sz="0" w:space="0" w:color="auto"/>
            <w:left w:val="none" w:sz="0" w:space="0" w:color="auto"/>
            <w:bottom w:val="none" w:sz="0" w:space="0" w:color="auto"/>
            <w:right w:val="none" w:sz="0" w:space="0" w:color="auto"/>
          </w:divBdr>
        </w:div>
        <w:div w:id="1297907388">
          <w:marLeft w:val="360"/>
          <w:marRight w:val="0"/>
          <w:marTop w:val="200"/>
          <w:marBottom w:val="0"/>
          <w:divBdr>
            <w:top w:val="none" w:sz="0" w:space="0" w:color="auto"/>
            <w:left w:val="none" w:sz="0" w:space="0" w:color="auto"/>
            <w:bottom w:val="none" w:sz="0" w:space="0" w:color="auto"/>
            <w:right w:val="none" w:sz="0" w:space="0" w:color="auto"/>
          </w:divBdr>
        </w:div>
        <w:div w:id="1866023008">
          <w:marLeft w:val="360"/>
          <w:marRight w:val="0"/>
          <w:marTop w:val="200"/>
          <w:marBottom w:val="0"/>
          <w:divBdr>
            <w:top w:val="none" w:sz="0" w:space="0" w:color="auto"/>
            <w:left w:val="none" w:sz="0" w:space="0" w:color="auto"/>
            <w:bottom w:val="none" w:sz="0" w:space="0" w:color="auto"/>
            <w:right w:val="none" w:sz="0" w:space="0" w:color="auto"/>
          </w:divBdr>
        </w:div>
      </w:divsChild>
    </w:div>
    <w:div w:id="1798648053">
      <w:bodyDiv w:val="1"/>
      <w:marLeft w:val="0"/>
      <w:marRight w:val="0"/>
      <w:marTop w:val="0"/>
      <w:marBottom w:val="0"/>
      <w:divBdr>
        <w:top w:val="none" w:sz="0" w:space="0" w:color="auto"/>
        <w:left w:val="none" w:sz="0" w:space="0" w:color="auto"/>
        <w:bottom w:val="none" w:sz="0" w:space="0" w:color="auto"/>
        <w:right w:val="none" w:sz="0" w:space="0" w:color="auto"/>
      </w:divBdr>
      <w:divsChild>
        <w:div w:id="1326518969">
          <w:marLeft w:val="360"/>
          <w:marRight w:val="0"/>
          <w:marTop w:val="200"/>
          <w:marBottom w:val="0"/>
          <w:divBdr>
            <w:top w:val="none" w:sz="0" w:space="0" w:color="auto"/>
            <w:left w:val="none" w:sz="0" w:space="0" w:color="auto"/>
            <w:bottom w:val="none" w:sz="0" w:space="0" w:color="auto"/>
            <w:right w:val="none" w:sz="0" w:space="0" w:color="auto"/>
          </w:divBdr>
        </w:div>
        <w:div w:id="287317186">
          <w:marLeft w:val="360"/>
          <w:marRight w:val="0"/>
          <w:marTop w:val="200"/>
          <w:marBottom w:val="0"/>
          <w:divBdr>
            <w:top w:val="none" w:sz="0" w:space="0" w:color="auto"/>
            <w:left w:val="none" w:sz="0" w:space="0" w:color="auto"/>
            <w:bottom w:val="none" w:sz="0" w:space="0" w:color="auto"/>
            <w:right w:val="none" w:sz="0" w:space="0" w:color="auto"/>
          </w:divBdr>
        </w:div>
        <w:div w:id="121121575">
          <w:marLeft w:val="360"/>
          <w:marRight w:val="0"/>
          <w:marTop w:val="200"/>
          <w:marBottom w:val="0"/>
          <w:divBdr>
            <w:top w:val="none" w:sz="0" w:space="0" w:color="auto"/>
            <w:left w:val="none" w:sz="0" w:space="0" w:color="auto"/>
            <w:bottom w:val="none" w:sz="0" w:space="0" w:color="auto"/>
            <w:right w:val="none" w:sz="0" w:space="0" w:color="auto"/>
          </w:divBdr>
        </w:div>
        <w:div w:id="1474520930">
          <w:marLeft w:val="360"/>
          <w:marRight w:val="0"/>
          <w:marTop w:val="200"/>
          <w:marBottom w:val="0"/>
          <w:divBdr>
            <w:top w:val="none" w:sz="0" w:space="0" w:color="auto"/>
            <w:left w:val="none" w:sz="0" w:space="0" w:color="auto"/>
            <w:bottom w:val="none" w:sz="0" w:space="0" w:color="auto"/>
            <w:right w:val="none" w:sz="0" w:space="0" w:color="auto"/>
          </w:divBdr>
        </w:div>
        <w:div w:id="1944997139">
          <w:marLeft w:val="360"/>
          <w:marRight w:val="0"/>
          <w:marTop w:val="200"/>
          <w:marBottom w:val="0"/>
          <w:divBdr>
            <w:top w:val="none" w:sz="0" w:space="0" w:color="auto"/>
            <w:left w:val="none" w:sz="0" w:space="0" w:color="auto"/>
            <w:bottom w:val="none" w:sz="0" w:space="0" w:color="auto"/>
            <w:right w:val="none" w:sz="0" w:space="0" w:color="auto"/>
          </w:divBdr>
        </w:div>
      </w:divsChild>
    </w:div>
    <w:div w:id="2077433286">
      <w:bodyDiv w:val="1"/>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360"/>
          <w:marRight w:val="0"/>
          <w:marTop w:val="200"/>
          <w:marBottom w:val="0"/>
          <w:divBdr>
            <w:top w:val="none" w:sz="0" w:space="0" w:color="auto"/>
            <w:left w:val="none" w:sz="0" w:space="0" w:color="auto"/>
            <w:bottom w:val="none" w:sz="0" w:space="0" w:color="auto"/>
            <w:right w:val="none" w:sz="0" w:space="0" w:color="auto"/>
          </w:divBdr>
        </w:div>
        <w:div w:id="1805079415">
          <w:marLeft w:val="360"/>
          <w:marRight w:val="0"/>
          <w:marTop w:val="200"/>
          <w:marBottom w:val="0"/>
          <w:divBdr>
            <w:top w:val="none" w:sz="0" w:space="0" w:color="auto"/>
            <w:left w:val="none" w:sz="0" w:space="0" w:color="auto"/>
            <w:bottom w:val="none" w:sz="0" w:space="0" w:color="auto"/>
            <w:right w:val="none" w:sz="0" w:space="0" w:color="auto"/>
          </w:divBdr>
        </w:div>
        <w:div w:id="20783022">
          <w:marLeft w:val="360"/>
          <w:marRight w:val="0"/>
          <w:marTop w:val="200"/>
          <w:marBottom w:val="0"/>
          <w:divBdr>
            <w:top w:val="none" w:sz="0" w:space="0" w:color="auto"/>
            <w:left w:val="none" w:sz="0" w:space="0" w:color="auto"/>
            <w:bottom w:val="none" w:sz="0" w:space="0" w:color="auto"/>
            <w:right w:val="none" w:sz="0" w:space="0" w:color="auto"/>
          </w:divBdr>
        </w:div>
        <w:div w:id="16301649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u.int/md/R16-WRC19-C-0535/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Namugerwa</dc:creator>
  <cp:keywords/>
  <dc:description/>
  <cp:lastModifiedBy>George  W. Kasangaki</cp:lastModifiedBy>
  <cp:revision>8</cp:revision>
  <dcterms:created xsi:type="dcterms:W3CDTF">2021-08-16T16:03:00Z</dcterms:created>
  <dcterms:modified xsi:type="dcterms:W3CDTF">2021-08-17T06:43:00Z</dcterms:modified>
</cp:coreProperties>
</file>